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Сахалинской области от 30.12.2015 N 136-ЗО</w:t>
              <w:br/>
              <w:t xml:space="preserve">(ред. от 14.07.2023)</w:t>
              <w:br/>
              <w:t xml:space="preserve">"О критериях для объектов социально-культурного, коммунально-бытового назначения и масштабных инвестиционных проектов в Сахалинской области"</w:t>
              <w:br/>
              <w:t xml:space="preserve">(принят Сахалинской областной Думой 24.12.2015)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01.04.2024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 декабря 2015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136-ЗО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САХАЛИНСКАЯ ОБЛАСТЬ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КРИТЕРИЯХ ДЛЯ ОБЪЕКТОВ</w:t>
      </w:r>
    </w:p>
    <w:p>
      <w:pPr>
        <w:pStyle w:val="2"/>
        <w:jc w:val="center"/>
      </w:pPr>
      <w:r>
        <w:rPr>
          <w:sz w:val="20"/>
        </w:rPr>
        <w:t xml:space="preserve">СОЦИАЛЬНО-КУЛЬТУРНОГО, КОММУНАЛЬНО-БЫТОВОГО НАЗНАЧЕНИЯ</w:t>
      </w:r>
    </w:p>
    <w:p>
      <w:pPr>
        <w:pStyle w:val="2"/>
        <w:jc w:val="center"/>
      </w:pPr>
      <w:r>
        <w:rPr>
          <w:sz w:val="20"/>
        </w:rPr>
        <w:t xml:space="preserve">И МАСШТАБНЫХ ИНВЕСТИЦИОННЫХ ПРОЕКТОВ В САХАЛИНСКОЙ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Сахалинской областной Думой</w:t>
      </w:r>
    </w:p>
    <w:p>
      <w:pPr>
        <w:pStyle w:val="0"/>
        <w:jc w:val="right"/>
      </w:pPr>
      <w:r>
        <w:rPr>
          <w:sz w:val="20"/>
        </w:rPr>
        <w:t xml:space="preserve">24 декабря 2015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27.02.2017 </w:t>
            </w:r>
            <w:hyperlink w:history="0" r:id="rId7" w:tooltip="Закон Сахалинской области от 27.02.2017 N 14-ЗО &quot;О внесении изменений в статью 1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7.02.2017) {КонсультантПлюс}">
              <w:r>
                <w:rPr>
                  <w:sz w:val="20"/>
                  <w:color w:val="0000ff"/>
                </w:rPr>
                <w:t xml:space="preserve">N 14-ЗО</w:t>
              </w:r>
            </w:hyperlink>
            <w:r>
              <w:rPr>
                <w:sz w:val="20"/>
                <w:color w:val="392c69"/>
              </w:rPr>
              <w:t xml:space="preserve">, от 11.04.2017 </w:t>
            </w:r>
            <w:hyperlink w:history="0" r:id="rId8" w:tooltip="Закон Сахалинской области от 11.04.2017 N 23-ЗО &quot;О внесении изменений в статьи 1 и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7.04.2017) {КонсультантПлюс}">
              <w:r>
                <w:rPr>
                  <w:sz w:val="20"/>
                  <w:color w:val="0000ff"/>
                </w:rPr>
                <w:t xml:space="preserve">N 23-ЗО</w:t>
              </w:r>
            </w:hyperlink>
            <w:r>
              <w:rPr>
                <w:sz w:val="20"/>
                <w:color w:val="392c69"/>
              </w:rPr>
              <w:t xml:space="preserve">, от 27.07.2017 </w:t>
            </w:r>
            <w:hyperlink w:history="0" r:id="rId9" w:tooltip="Закон Сахалинской области от 27.07.2017 N 82-ЗО &quot;О внесении изменений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07.2017) {КонсультантПлюс}">
              <w:r>
                <w:rPr>
                  <w:sz w:val="20"/>
                  <w:color w:val="0000ff"/>
                </w:rPr>
                <w:t xml:space="preserve">N 82-ЗО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07.03.2019 </w:t>
            </w:r>
            <w:hyperlink w:history="0" r:id="rId10" w:tooltip="Закон Сахалинской области от 07.03.2019 N 16-ЗО &quot;О внесении изменения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02.2019) {КонсультантПлюс}">
              <w:r>
                <w:rPr>
                  <w:sz w:val="20"/>
                  <w:color w:val="0000ff"/>
                </w:rPr>
                <w:t xml:space="preserve">N 16-ЗО</w:t>
              </w:r>
            </w:hyperlink>
            <w:r>
              <w:rPr>
                <w:sz w:val="20"/>
                <w:color w:val="392c69"/>
              </w:rPr>
              <w:t xml:space="preserve">, от 25.10.2019 </w:t>
            </w:r>
            <w:hyperlink w:history="0" r:id="rId11" w:tooltip="Закон Сахалинской области от 25.10.2019 N 94-ЗО &quot;О внесении изменений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7.10.2019) {КонсультантПлюс}">
              <w:r>
                <w:rPr>
                  <w:sz w:val="20"/>
                  <w:color w:val="0000ff"/>
                </w:rPr>
                <w:t xml:space="preserve">N 94-ЗО</w:t>
              </w:r>
            </w:hyperlink>
            <w:r>
              <w:rPr>
                <w:sz w:val="20"/>
                <w:color w:val="392c69"/>
              </w:rPr>
              <w:t xml:space="preserve">, от 22.10.2020 </w:t>
            </w:r>
            <w:hyperlink w:history="0" r:id="rId12" w:tooltip="Закон Сахалинской области от 22.10.2020 N 71-ЗО &quot;О внесении изменений в статью 2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5.10.2020) {КонсультантПлюс}">
              <w:r>
                <w:rPr>
                  <w:sz w:val="20"/>
                  <w:color w:val="0000ff"/>
                </w:rPr>
                <w:t xml:space="preserve">N 71-ЗО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02.11.2021 </w:t>
            </w:r>
            <w:hyperlink w:history="0" r:id="rId13" w:tooltip="Закон Сахалинской области от 02.11.2021 N 93-ЗО &quot;О внесении изменения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10.2021) {КонсультантПлюс}">
              <w:r>
                <w:rPr>
                  <w:sz w:val="20"/>
                  <w:color w:val="0000ff"/>
                </w:rPr>
                <w:t xml:space="preserve">N 93-ЗО</w:t>
              </w:r>
            </w:hyperlink>
            <w:r>
              <w:rPr>
                <w:sz w:val="20"/>
                <w:color w:val="392c69"/>
              </w:rPr>
              <w:t xml:space="preserve">, от 14.07.2023 </w:t>
            </w:r>
            <w:hyperlink w:history="0" r:id="rId14" w:tooltip="Закон Сахалинской области от 14.07.2023 N 63-ЗО &quot;О внесении изменений в Закон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6.07.2023) {КонсультантПлюс}">
              <w:r>
                <w:rPr>
                  <w:sz w:val="20"/>
                  <w:color w:val="0000ff"/>
                </w:rPr>
                <w:t xml:space="preserve">N 63-ЗО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Преамбула утратила силу. - </w:t>
      </w:r>
      <w:hyperlink w:history="0" r:id="rId15" w:tooltip="Закон Сахалинской области от 14.07.2023 N 63-ЗО &quot;О внесении изменений в Закон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6.07.202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Сахалинской области от 14.07.2023 N 63-ЗО.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1. Предмет регулирования настоящего Закона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6" w:tooltip="Закон Сахалинской области от 14.07.2023 N 63-ЗО &quot;О внесении изменений в Закон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6.07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14.07.2023 N 63-ЗО)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разработан в целях реализации положений </w:t>
      </w:r>
      <w:hyperlink w:history="0" r:id="rId17" w:tooltip="&quot;Земельный кодекс Российской Федерации&quot; от 25.10.2001 N 136-ФЗ (ред. от 14.02.2024) (с изм. и доп., вступ. в силу с 01.03.2024) ------------ Недействующая редакция {КонсультантПлюс}">
        <w:r>
          <w:rPr>
            <w:sz w:val="20"/>
            <w:color w:val="0000ff"/>
          </w:rPr>
          <w:t xml:space="preserve">подпункта 3 пункта 2 статьи 39.6</w:t>
        </w:r>
      </w:hyperlink>
      <w:r>
        <w:rPr>
          <w:sz w:val="20"/>
        </w:rPr>
        <w:t xml:space="preserve"> Земельного кодекса Российской Федерации и устанавливает критерии, которым должны соответствовать объекты социально-культурного и коммунально-бытового назначения, масштабные инвестиционные проекты, в целях их размещения (реализации) на территории Сахалинской области.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1-1. Критерии, которым должны соответствовать</w:t>
      </w:r>
    </w:p>
    <w:p>
      <w:pPr>
        <w:pStyle w:val="2"/>
        <w:jc w:val="center"/>
      </w:pPr>
      <w:r>
        <w:rPr>
          <w:sz w:val="20"/>
        </w:rPr>
        <w:t xml:space="preserve">объекты социально-культурного назначения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18" w:tooltip="Закон Сахалинской области от 14.07.2023 N 63-ЗО &quot;О внесении изменений в Закон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6.07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14.07.2023 N 63-ЗО)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Объекты социально-культурного назначения должны одновременно соответствовать следующим критериям: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размещение объекта социально-культурного назначения соответствует приоритетам, целям и задачам, определенным стратегиями социально-экономического развития Сахалинской области, муниципального образования Сахалинской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объект социально-культурного назначения относится к сфере образования, здравоохранения, социальной защиты, физической культуры и спорта, науки, культуры;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общий объем средств, необходимых для создания (реконструкции) объекта социально-культурного назначения, составляет: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создания (реконструкции) объекта образования, науки, культуры, здравоохранения или социальной защиты - не менее 20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создания (реконструкции) объекта физической культуры и спорта - не менее пяти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объем внебюджетных средств, вкладываемых инвестором в создание (реконструкцию) объекта социально-культурного назначения, относящегося к сфере образования, здравоохранения, социальной защиты, физической культуры и спорта, составляет не менее 50 процентов от общего объема средств, необходимых для создания (реконструкции) такого объекта;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общедоступность создаваемого (реконструируемого) объекта социально-культурного назначения.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2. Критерии, которым должны соответствовать</w:t>
      </w:r>
    </w:p>
    <w:p>
      <w:pPr>
        <w:pStyle w:val="2"/>
        <w:jc w:val="center"/>
      </w:pPr>
      <w:r>
        <w:rPr>
          <w:sz w:val="20"/>
        </w:rPr>
        <w:t xml:space="preserve">объекты коммунально-бытового назначения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Объекты коммунально-бытового назначения должны соответствовать одновременно следующим критериям: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Закон Сахалинской области от 14.07.2023 N 63-ЗО &quot;О внесении изменений в Закон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6.07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14.07.2023 N 63-ЗО)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размещение объекта коммунально-бытового назначения соответствует приоритетам, целям и задачам, определенным стратегиями социально-экономического развития Сахалинской области, муниципального образования Сахалинской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объект коммунально-бытового назначения относится к сфере электроэнергетики, газо-, тепло-, водоснабжения, водоотведения или к сфере обращения с отходами и предусматривает внедрение современных технологий, в том числе в части обеспечения энергоэффективности;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общий объем средств, необходимых для создания (реконструкции) объекта коммунально-бытового назначения, составляет не менее 100 миллионов рублей, за исключением объекта коммунально-бытового назначения в сфере обращения с отходами;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Закон Сахалинской области от 22.10.2020 N 71-ЗО &quot;О внесении изменений в статью 2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5.10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22.10.2020 N 71-ЗО)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3-1) общий объем средств, необходимых для создания (реконструкции) объекта коммунально-бытового назначения в сфере обращения с отходами, составляет не менее трех миллионов рублей;</w:t>
      </w:r>
    </w:p>
    <w:p>
      <w:pPr>
        <w:pStyle w:val="0"/>
        <w:jc w:val="both"/>
      </w:pPr>
      <w:r>
        <w:rPr>
          <w:sz w:val="20"/>
        </w:rPr>
        <w:t xml:space="preserve">(п. 3-1 введен </w:t>
      </w:r>
      <w:hyperlink w:history="0" r:id="rId21" w:tooltip="Закон Сахалинской области от 22.10.2020 N 71-ЗО &quot;О внесении изменений в статью 2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5.10.2020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22.10.2020 N 71-ЗО)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объем внебюджетных средств, вкладываемых инвестором в создание (реконструкцию) объекта коммунально-бытового назначения, составляет не менее 50 процентов от общего объема средств, необходимых для создания (реконструкции) объекта коммунально-бытового назначения.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3. Критерии, которым должны соответствовать</w:t>
      </w:r>
    </w:p>
    <w:p>
      <w:pPr>
        <w:pStyle w:val="2"/>
        <w:jc w:val="center"/>
      </w:pPr>
      <w:r>
        <w:rPr>
          <w:sz w:val="20"/>
        </w:rPr>
        <w:t xml:space="preserve">масштабные инвестиционные проекты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9" w:name="P59"/>
    <w:bookmarkEnd w:id="59"/>
    <w:p>
      <w:pPr>
        <w:pStyle w:val="0"/>
        <w:ind w:firstLine="540"/>
        <w:jc w:val="both"/>
      </w:pPr>
      <w:r>
        <w:rPr>
          <w:sz w:val="20"/>
        </w:rPr>
        <w:t xml:space="preserve">1. Масштабные инвестиционные проекты (далее - инвестиционный проект) должны соответствовать следующим критериям: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Закон Сахалинской области от 14.07.2023 N 63-ЗО &quot;О внесении изменений в Закон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6.07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14.07.2023 N 63-ЗО)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реализация инвестиционного проекта предусмотрена приоритетами, целями и задачами стратегии социально-экономического развития Сахалинской области, стратегии социально-экономического развития муниципального образования Сахалинской области;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общий объем средств, предусмотренных инвестиционным проектом, составляет не менее одного миллиарда рублей, за исключением: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Закон Сахалинской области от 11.04.2017 N 23-ЗО &quot;О внесении изменений в статьи 1 и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7.04.2017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11.04.2017 N 23-ЗО)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инвестиционного проекта по созданию индустриального парка (технопарка) - общий объем инвестиций составляет не менее 700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инвестиционного проекта по осуществлению юридическим лицом инновационной деятельности - общий объем инвестиций юридического лица, осуществляющего инновационную деятельность, составляет не менее 300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инвестиционный проект в сфере жилищного строительства - общий объем средств, необходимых для создания объекта, составляет не менее 500 миллионов рублей;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Закон Сахалинской области от 11.04.2017 N 23-ЗО &quot;О внесении изменений в статьи 1 и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7.04.2017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11.04.2017 N 23-ЗО)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инвестиционного проекта в сфере сельского хозяйства - общий объем инвестиций составляет не менее 150 миллионов рублей;</w:t>
      </w:r>
    </w:p>
    <w:p>
      <w:pPr>
        <w:pStyle w:val="0"/>
        <w:jc w:val="both"/>
      </w:pPr>
      <w:r>
        <w:rPr>
          <w:sz w:val="20"/>
        </w:rPr>
        <w:t xml:space="preserve">(пп. "г" введен </w:t>
      </w:r>
      <w:hyperlink w:history="0" r:id="rId25" w:tooltip="Закон Сахалинской области от 27.07.2017 N 82-ЗО &quot;О внесении изменений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07.2017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27.07.2017 N 82-ЗО)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инвестиционного проекта по созданию объектов туристской индустрии: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гостиниц и иных средств размещения (отелей, пансионов, апартотелей, курортных отелей, баз отдыха) - общий объем инвестиций составляет не менее 50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объектов общественного питания - общий объем инвестиций составляет не менее 25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туристских парков как объектов и совокупности средств развлечения - общий объем инвестиций составляет не менее 25 миллионов рублей;</w:t>
      </w:r>
    </w:p>
    <w:p>
      <w:pPr>
        <w:pStyle w:val="0"/>
        <w:jc w:val="both"/>
      </w:pPr>
      <w:r>
        <w:rPr>
          <w:sz w:val="20"/>
        </w:rPr>
        <w:t xml:space="preserve">(пп. "д" введен </w:t>
      </w:r>
      <w:hyperlink w:history="0" r:id="rId26" w:tooltip="Закон Сахалинской области от 27.07.2017 N 82-ЗО &quot;О внесении изменений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07.2017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27.07.2017 N 82-ЗО)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инвестиционного проекта по созданию объектов промышленного производства строительных материалов, изделий - общий объем инвестиций составляет не менее 300 миллионов рублей;</w:t>
      </w:r>
    </w:p>
    <w:p>
      <w:pPr>
        <w:pStyle w:val="0"/>
        <w:jc w:val="both"/>
      </w:pPr>
      <w:r>
        <w:rPr>
          <w:sz w:val="20"/>
        </w:rPr>
        <w:t xml:space="preserve">(пп. "е" введен </w:t>
      </w:r>
      <w:hyperlink w:history="0" r:id="rId27" w:tooltip="Закон Сахалинской области от 07.03.2019 N 16-ЗО &quot;О внесении изменения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02.201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07.03.2019 N 16-ЗО)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инвестиционного проекта по созданию инфраструктуры производства и сбыта сжиженного и компримированного природного газа: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заводов малотоннажного производства сжиженного природного газа - общий объем инвестиций составляет не менее 500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 приема, хранения и регазификации сжиженного природного газа и (или) компримированного природного газа - общий объем инвестиций составляет не менее 180 миллионов рублей;</w:t>
      </w:r>
    </w:p>
    <w:p>
      <w:pPr>
        <w:pStyle w:val="0"/>
        <w:jc w:val="both"/>
      </w:pPr>
      <w:r>
        <w:rPr>
          <w:sz w:val="20"/>
        </w:rPr>
        <w:t xml:space="preserve">(пп. "ж" введен </w:t>
      </w:r>
      <w:hyperlink w:history="0" r:id="rId28" w:tooltip="Закон Сахалинской области от 25.10.2019 N 94-ЗО &quot;О внесении изменений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7.10.201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25.10.2019 N 94-ЗО)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инвестиционного проекта по развитию газозаправочной инфраструктуры: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строительство стационарных автомобильных газонаполнительных компрессорных станций для заправки автотранспорта компримированным природным газом и криогенных автозаправочных станций для заправки автотранспорта сжиженным природным газом - общий объем инвестиций составляет не менее 30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модернизация действующих автомобильных газонаполнительных компрессорных станций в целях увеличения производства газомоторного топлива - общий объем инвестиций составляет не менее 15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установка газовых модулей на действующих автозаправочных станциях для заправки автотранспорта компримированным природным газом - общий объем инвестиций составляет не менее 15 миллионов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строительство автомобильных газонаполнительных компрессорных станций, не обеспеченных сетевым природным газом и использующих передвижные автомобильные газовые заправщики для обеспечения газомоторным топливом автотранспорта, - общий объем инвестиций составляет не менее 4,5 миллиона рублей;</w:t>
      </w:r>
    </w:p>
    <w:p>
      <w:pPr>
        <w:pStyle w:val="0"/>
        <w:jc w:val="both"/>
      </w:pPr>
      <w:r>
        <w:rPr>
          <w:sz w:val="20"/>
        </w:rPr>
        <w:t xml:space="preserve">(пп. "з" введен </w:t>
      </w:r>
      <w:hyperlink w:history="0" r:id="rId29" w:tooltip="Закон Сахалинской области от 25.10.2019 N 94-ЗО &quot;О внесении изменений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17.10.201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25.10.2019 N 94-ЗО)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инвестиционного проекта в сфере торговли, направленного на развитие ярмарок, - общий объем инвестиций составляет не менее 250 миллионов рублей;</w:t>
      </w:r>
    </w:p>
    <w:p>
      <w:pPr>
        <w:pStyle w:val="0"/>
        <w:jc w:val="both"/>
      </w:pPr>
      <w:r>
        <w:rPr>
          <w:sz w:val="20"/>
        </w:rPr>
        <w:t xml:space="preserve">(пп. "и" введен </w:t>
      </w:r>
      <w:hyperlink w:history="0" r:id="rId30" w:tooltip="Закон Сахалинской области от 02.11.2021 N 93-ЗО &quot;О внесении изменения в статью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1.10.2021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02.11.2021 N 93-ЗО)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объем внебюджетных средств, инвестируемых в реализацию инвестиционного проекта, составляет не менее 50 процентов от общего объема инвестиций, предусмотренных данным инвестиционным проектом;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реализация инвестиционного проекта повлечет создание: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 территориях сельских поселений не менее 30 новых рабочих мест;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 территориях городских поселений и городских округов (за исключением городского округа "Город Южно-Сахалинск") не менее 50 новых рабочих мест;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 территории городского округа "Город Южно-Сахалинск" не менее 100 новых рабочих мест;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инвестиционный проект обеспечит совокупный объем налоговых и иных обязательных платежей в бюджет муниципального образования, на территории которого планируется его реализация, в размере не менее пяти миллионов рублей в год;</w:t>
      </w:r>
    </w:p>
    <w:bookmarkStart w:id="95" w:name="P95"/>
    <w:bookmarkEnd w:id="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инвестиционный проект в сфере жилищного строительства предусматривает строительство жилья экономического класса в объеме не менее 10 тысяч квадратных метров;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инвестиционный проект в сфере жилищного строительства предусматривает строительство объектов капитального строительства жилого назначения для последующей передачи в собственность или социальный наем гражданам, лишившимся жилых помещений в результате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(п. 7 введен </w:t>
      </w:r>
      <w:hyperlink w:history="0" r:id="rId31" w:tooltip="Закон Сахалинской области от 11.04.2017 N 23-ЗО &quot;О внесении изменений в статьи 1 и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7.04.2017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11.04.2017 N 23-ЗО)</w:t>
      </w:r>
    </w:p>
    <w:bookmarkStart w:id="98" w:name="P98"/>
    <w:bookmarkEnd w:id="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Инвестиционный проект обязательно должен соответствовать не менее чем двум критериям, установленным </w:t>
      </w:r>
      <w:hyperlink w:history="0" w:anchor="P59" w:tooltip="1. Масштабные инвестиционные проекты (далее - инвестиционный проект) должны соответствовать следующим критериям:">
        <w:r>
          <w:rPr>
            <w:sz w:val="20"/>
            <w:color w:val="0000ff"/>
          </w:rPr>
          <w:t xml:space="preserve">частью 1</w:t>
        </w:r>
      </w:hyperlink>
      <w:r>
        <w:rPr>
          <w:sz w:val="20"/>
        </w:rPr>
        <w:t xml:space="preserve"> настоящей статьи, в том числе критерию, установленному </w:t>
      </w:r>
      <w:hyperlink w:history="0" w:anchor="P62" w:tooltip="2) общий объем средств, предусмотренных инвестиционным проектом, составляет не менее одного миллиарда рублей, за исключением:">
        <w:r>
          <w:rPr>
            <w:sz w:val="20"/>
            <w:color w:val="0000ff"/>
          </w:rPr>
          <w:t xml:space="preserve">пунктом 2 части 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2" w:tooltip="Закон Сахалинской области от 11.04.2017 N 23-ЗО &quot;О внесении изменений в статьи 1 и 3 Закона Сахалинской области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07.04.2017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11.04.2017 N 23-ЗО)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Инвестиционный проект в сфере жилищного строительства должен соответствовать условиям, установленным </w:t>
      </w:r>
      <w:hyperlink w:history="0" w:anchor="P98" w:tooltip="2. Инвестиционный проект обязательно должен соответствовать не менее чем двум критериям, установленным частью 1 настоящей статьи, в том числе критерию, установленному пунктом 2 части 1 настоящей статьи.">
        <w:r>
          <w:rPr>
            <w:sz w:val="20"/>
            <w:color w:val="0000ff"/>
          </w:rPr>
          <w:t xml:space="preserve">частью 2</w:t>
        </w:r>
      </w:hyperlink>
      <w:r>
        <w:rPr>
          <w:sz w:val="20"/>
        </w:rPr>
        <w:t xml:space="preserve"> настоящей статьи, и критерию, установленному </w:t>
      </w:r>
      <w:hyperlink w:history="0" w:anchor="P95" w:tooltip="6) инвестиционный проект в сфере жилищного строительства предусматривает строительство жилья экономического класса в объеме не менее 10 тысяч квадратных метров;">
        <w:r>
          <w:rPr>
            <w:sz w:val="20"/>
            <w:color w:val="0000ff"/>
          </w:rPr>
          <w:t xml:space="preserve">пунктом 6 части 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4. Вступление в силу настоящего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вступает в силу по истечении 10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Сахалинской области</w:t>
      </w:r>
    </w:p>
    <w:p>
      <w:pPr>
        <w:pStyle w:val="0"/>
        <w:jc w:val="right"/>
      </w:pPr>
      <w:r>
        <w:rPr>
          <w:sz w:val="20"/>
        </w:rPr>
        <w:t xml:space="preserve">О.Н.Кожемяко</w:t>
      </w:r>
    </w:p>
    <w:p>
      <w:pPr>
        <w:pStyle w:val="0"/>
      </w:pPr>
      <w:r>
        <w:rPr>
          <w:sz w:val="20"/>
        </w:rPr>
        <w:t xml:space="preserve">г. Южно-Сахалинск</w:t>
      </w:r>
    </w:p>
    <w:p>
      <w:pPr>
        <w:pStyle w:val="0"/>
        <w:spacing w:before="200" w:line-rule="auto"/>
      </w:pPr>
      <w:r>
        <w:rPr>
          <w:sz w:val="20"/>
        </w:rPr>
        <w:t xml:space="preserve">30 декабря 2015 года</w:t>
      </w:r>
    </w:p>
    <w:p>
      <w:pPr>
        <w:pStyle w:val="0"/>
        <w:spacing w:before="200" w:line-rule="auto"/>
      </w:pPr>
      <w:r>
        <w:rPr>
          <w:sz w:val="20"/>
        </w:rPr>
        <w:t xml:space="preserve">N 136-ЗО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Сахалинской области от 30.12.2015 N 136-ЗО</w:t>
            <w:br/>
            <w:t>(ред. от 14.07.2023)</w:t>
            <w:br/>
            <w:t>"О критериях для объектов социально-культурного, 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10&amp;n=68797&amp;dst=100008" TargetMode = "External"/>
	<Relationship Id="rId8" Type="http://schemas.openxmlformats.org/officeDocument/2006/relationships/hyperlink" Target="https://login.consultant.ru/link/?req=doc&amp;base=RLAW210&amp;n=69975&amp;dst=100008" TargetMode = "External"/>
	<Relationship Id="rId9" Type="http://schemas.openxmlformats.org/officeDocument/2006/relationships/hyperlink" Target="https://login.consultant.ru/link/?req=doc&amp;base=RLAW210&amp;n=72671&amp;dst=100008" TargetMode = "External"/>
	<Relationship Id="rId10" Type="http://schemas.openxmlformats.org/officeDocument/2006/relationships/hyperlink" Target="https://login.consultant.ru/link/?req=doc&amp;base=RLAW210&amp;n=88733&amp;dst=100008" TargetMode = "External"/>
	<Relationship Id="rId11" Type="http://schemas.openxmlformats.org/officeDocument/2006/relationships/hyperlink" Target="https://login.consultant.ru/link/?req=doc&amp;base=RLAW210&amp;n=95124&amp;dst=100008" TargetMode = "External"/>
	<Relationship Id="rId12" Type="http://schemas.openxmlformats.org/officeDocument/2006/relationships/hyperlink" Target="https://login.consultant.ru/link/?req=doc&amp;base=RLAW210&amp;n=104814&amp;dst=100008" TargetMode = "External"/>
	<Relationship Id="rId13" Type="http://schemas.openxmlformats.org/officeDocument/2006/relationships/hyperlink" Target="https://login.consultant.ru/link/?req=doc&amp;base=RLAW210&amp;n=114655&amp;dst=100008" TargetMode = "External"/>
	<Relationship Id="rId14" Type="http://schemas.openxmlformats.org/officeDocument/2006/relationships/hyperlink" Target="https://login.consultant.ru/link/?req=doc&amp;base=RLAW210&amp;n=131758&amp;dst=100008" TargetMode = "External"/>
	<Relationship Id="rId15" Type="http://schemas.openxmlformats.org/officeDocument/2006/relationships/hyperlink" Target="https://login.consultant.ru/link/?req=doc&amp;base=RLAW210&amp;n=131758&amp;dst=100009" TargetMode = "External"/>
	<Relationship Id="rId16" Type="http://schemas.openxmlformats.org/officeDocument/2006/relationships/hyperlink" Target="https://login.consultant.ru/link/?req=doc&amp;base=RLAW210&amp;n=131758&amp;dst=100010" TargetMode = "External"/>
	<Relationship Id="rId17" Type="http://schemas.openxmlformats.org/officeDocument/2006/relationships/hyperlink" Target="https://login.consultant.ru/link/?req=doc&amp;base=LAW&amp;n=454812&amp;dst=470" TargetMode = "External"/>
	<Relationship Id="rId18" Type="http://schemas.openxmlformats.org/officeDocument/2006/relationships/hyperlink" Target="https://login.consultant.ru/link/?req=doc&amp;base=RLAW210&amp;n=131758&amp;dst=100013" TargetMode = "External"/>
	<Relationship Id="rId19" Type="http://schemas.openxmlformats.org/officeDocument/2006/relationships/hyperlink" Target="https://login.consultant.ru/link/?req=doc&amp;base=RLAW210&amp;n=131758&amp;dst=100023" TargetMode = "External"/>
	<Relationship Id="rId20" Type="http://schemas.openxmlformats.org/officeDocument/2006/relationships/hyperlink" Target="https://login.consultant.ru/link/?req=doc&amp;base=RLAW210&amp;n=104814&amp;dst=100009" TargetMode = "External"/>
	<Relationship Id="rId21" Type="http://schemas.openxmlformats.org/officeDocument/2006/relationships/hyperlink" Target="https://login.consultant.ru/link/?req=doc&amp;base=RLAW210&amp;n=104814&amp;dst=100010" TargetMode = "External"/>
	<Relationship Id="rId22" Type="http://schemas.openxmlformats.org/officeDocument/2006/relationships/hyperlink" Target="https://login.consultant.ru/link/?req=doc&amp;base=RLAW210&amp;n=131758&amp;dst=100025" TargetMode = "External"/>
	<Relationship Id="rId23" Type="http://schemas.openxmlformats.org/officeDocument/2006/relationships/hyperlink" Target="https://login.consultant.ru/link/?req=doc&amp;base=RLAW210&amp;n=69975&amp;dst=100013" TargetMode = "External"/>
	<Relationship Id="rId24" Type="http://schemas.openxmlformats.org/officeDocument/2006/relationships/hyperlink" Target="https://login.consultant.ru/link/?req=doc&amp;base=RLAW210&amp;n=69975&amp;dst=100014" TargetMode = "External"/>
	<Relationship Id="rId25" Type="http://schemas.openxmlformats.org/officeDocument/2006/relationships/hyperlink" Target="https://login.consultant.ru/link/?req=doc&amp;base=RLAW210&amp;n=72671&amp;dst=100008" TargetMode = "External"/>
	<Relationship Id="rId26" Type="http://schemas.openxmlformats.org/officeDocument/2006/relationships/hyperlink" Target="https://login.consultant.ru/link/?req=doc&amp;base=RLAW210&amp;n=72671&amp;dst=100010" TargetMode = "External"/>
	<Relationship Id="rId27" Type="http://schemas.openxmlformats.org/officeDocument/2006/relationships/hyperlink" Target="https://login.consultant.ru/link/?req=doc&amp;base=RLAW210&amp;n=88733&amp;dst=100008" TargetMode = "External"/>
	<Relationship Id="rId28" Type="http://schemas.openxmlformats.org/officeDocument/2006/relationships/hyperlink" Target="https://login.consultant.ru/link/?req=doc&amp;base=RLAW210&amp;n=95124&amp;dst=100008" TargetMode = "External"/>
	<Relationship Id="rId29" Type="http://schemas.openxmlformats.org/officeDocument/2006/relationships/hyperlink" Target="https://login.consultant.ru/link/?req=doc&amp;base=RLAW210&amp;n=95124&amp;dst=100012" TargetMode = "External"/>
	<Relationship Id="rId30" Type="http://schemas.openxmlformats.org/officeDocument/2006/relationships/hyperlink" Target="https://login.consultant.ru/link/?req=doc&amp;base=RLAW210&amp;n=114655&amp;dst=100008" TargetMode = "External"/>
	<Relationship Id="rId31" Type="http://schemas.openxmlformats.org/officeDocument/2006/relationships/hyperlink" Target="https://login.consultant.ru/link/?req=doc&amp;base=RLAW210&amp;n=69975&amp;dst=100015" TargetMode = "External"/>
	<Relationship Id="rId32" Type="http://schemas.openxmlformats.org/officeDocument/2006/relationships/hyperlink" Target="https://login.consultant.ru/link/?req=doc&amp;base=RLAW210&amp;n=69975&amp;dst=10001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Сахалинской области от 30.12.2015 N 136-ЗО
(ред. от 14.07.2023)
"О критериях для объектов социально-культурного, коммунально-бытового назначения и масштабных инвестиционных проектов в Сахалинской области"
(принят Сахалинской областной Думой 24.12.2015)</dc:title>
  <dcterms:created xsi:type="dcterms:W3CDTF">2024-04-01T03:28:30Z</dcterms:created>
</cp:coreProperties>
</file>