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0"/>
              </w:rPr>
              <w:t xml:space="preserve">Распоряжение Губернатора Сахалинской области от 15.08.2025 N 201-р</w:t>
              <w:br/>
              <w:t xml:space="preserve">(ред. от 18.12.2025)</w:t>
              <w:br/>
              <w:t xml:space="preserve">"Об утверждении планов мероприятий ("дорожных карт")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w:t>
              <w:br/>
              <w:t xml:space="preserve">(вместе с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выдаче разрешений на строительство",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регистрации прав собственности",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постановки земельного участка на кадастровый учет",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получению в аренду земельных участков",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подключению электроэнергии",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подключению к газопроводу",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подключению к сетям водоснабжения и водоотведения",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вводу объекта в эксплуатацию", "Планом мероприятий ("дорожной картой") по достижению ключевых показателей эффективности Национальной модели по фактору "Административное давление на бизнес", "Планом мероприятий ("дорожной картой") по достижению целевых значений ключевых показателей эффективности Национальной модели по фактору "Силовое давление на бизнес", "Планом мероприятий ("дорожной картой") по достижению целевых значений ключевых показателей эффективности Национальной модели по фактору "Уровень развития малого и среднего предпринимательства", "Перечнем ответственных исполнительных органов Сахалинской области, территориальных органов федеральных органов исполнительной власти по Сахалинской области, подразделений Правительства Сахалинской области за реализацию планов мероприятий ("дорожных карт") по достижению целевых значений ключевых показателей эффективности Национальной модели")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24.09.2026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ГУБЕРНАТОР САХАЛИНСКОЙ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15 августа 2025 г. N 201-р</w:t>
      </w:r>
    </w:p>
    <w:p>
      <w:pPr>
        <w:pStyle w:val="2"/>
        <w:jc w:val="center"/>
      </w:pPr>
      <w:r>
        <w:rPr>
          <w:sz w:val="20"/>
        </w:rPr>
      </w:r>
    </w:p>
    <w:p>
      <w:pPr>
        <w:pStyle w:val="2"/>
        <w:jc w:val="center"/>
      </w:pPr>
      <w:r>
        <w:rPr>
          <w:sz w:val="20"/>
        </w:rPr>
        <w:t xml:space="preserve">ОБ УТВЕРЖДЕНИИ ПЛАНОВ МЕРОПРИЯТИЙ ("ДОРОЖНЫХ КАРТ")</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ЦЕЛЕВЫХ УСЛОВИЙ</w:t>
      </w:r>
    </w:p>
    <w:p>
      <w:pPr>
        <w:pStyle w:val="2"/>
        <w:jc w:val="center"/>
      </w:pPr>
      <w:r>
        <w:rPr>
          <w:sz w:val="20"/>
        </w:rPr>
        <w:t xml:space="preserve">ВЕДЕНИЯ БИЗНЕСА В САХАЛИНСКОЙ ОБЛАСТИ ДО 2030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Распоряжений Губернатора Сахалинской области</w:t>
            </w:r>
          </w:p>
          <w:p>
            <w:pPr>
              <w:pStyle w:val="0"/>
              <w:jc w:val="center"/>
            </w:pPr>
            <w:r>
              <w:rPr>
                <w:sz w:val="20"/>
                <w:color w:val="392c69"/>
              </w:rPr>
              <w:t xml:space="preserve">от 14.11.2025 </w:t>
            </w:r>
            <w:hyperlink w:history="0" r:id="rId8"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N 286-р</w:t>
              </w:r>
            </w:hyperlink>
            <w:r>
              <w:rPr>
                <w:sz w:val="20"/>
                <w:color w:val="392c69"/>
              </w:rPr>
              <w:t xml:space="preserve">, от 18.12.2025 </w:t>
            </w:r>
            <w:hyperlink w:history="0" r:id="rId9"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N 323-р</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pStyle w:val="0"/>
        <w:ind w:firstLine="540"/>
        <w:jc w:val="both"/>
      </w:pPr>
      <w:r>
        <w:rPr>
          <w:sz w:val="20"/>
        </w:rPr>
        <w:t xml:space="preserve">Во исполнение пункта 6 перечня поручений Председателя Правительства Российской Федерации от 03.06.2025 N ММ-П13-20086 по итогам стратегической сессии по направлению "Инвестиционный климат и целевые модели ведения бизнеса" от 22.04.2025:</w:t>
      </w:r>
    </w:p>
    <w:p>
      <w:pPr>
        <w:pStyle w:val="0"/>
      </w:pPr>
      <w:r>
        <w:rPr>
          <w:sz w:val="20"/>
        </w:rPr>
      </w:r>
    </w:p>
    <w:p>
      <w:pPr>
        <w:pStyle w:val="0"/>
        <w:ind w:firstLine="540"/>
        <w:jc w:val="both"/>
      </w:pPr>
      <w:r>
        <w:rPr>
          <w:sz w:val="20"/>
        </w:rPr>
        <w:t xml:space="preserve">1. Утвердить:</w:t>
      </w:r>
    </w:p>
    <w:p>
      <w:pPr>
        <w:pStyle w:val="0"/>
        <w:spacing w:before="200" w:lineRule="auto"/>
        <w:ind w:firstLine="540"/>
        <w:jc w:val="both"/>
      </w:pPr>
      <w:r>
        <w:rPr>
          <w:sz w:val="20"/>
        </w:rPr>
        <w:t xml:space="preserve">1.1. целевые </w:t>
      </w:r>
      <w:hyperlink w:history="0" w:anchor="P52" w:tooltip="ЦЕЛЕВЫЕ ЗНАЧЕНИЯ">
        <w:r>
          <w:rPr>
            <w:sz w:val="20"/>
            <w:color w:val="0000ff"/>
          </w:rPr>
          <w:t xml:space="preserve">значения</w:t>
        </w:r>
      </w:hyperlink>
      <w:r>
        <w:rPr>
          <w:sz w:val="20"/>
        </w:rPr>
        <w:t xml:space="preserve"> ключевых показателей эффективности Национальной модели целевых условий ведения бизнеса в Сахалинской области до 2030 года (далее - Национальная модель) согласно приложению N 1 к настоящему распоряжению;</w:t>
      </w:r>
    </w:p>
    <w:p>
      <w:pPr>
        <w:pStyle w:val="0"/>
        <w:spacing w:before="200" w:lineRule="auto"/>
        <w:ind w:firstLine="540"/>
        <w:jc w:val="both"/>
      </w:pPr>
      <w:r>
        <w:rPr>
          <w:sz w:val="20"/>
        </w:rPr>
        <w:t xml:space="preserve">1.2. </w:t>
      </w:r>
      <w:hyperlink w:history="0" w:anchor="P305" w:tooltip="ПЛАН">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 выдаче разрешений на строительство" согласно приложению N 2 к настоящему распоряжению;</w:t>
      </w:r>
    </w:p>
    <w:p>
      <w:pPr>
        <w:pStyle w:val="0"/>
        <w:spacing w:before="200" w:lineRule="auto"/>
        <w:ind w:firstLine="540"/>
        <w:jc w:val="both"/>
      </w:pPr>
      <w:r>
        <w:rPr>
          <w:sz w:val="20"/>
        </w:rPr>
        <w:t xml:space="preserve">1.3. </w:t>
      </w:r>
      <w:hyperlink w:history="0" w:anchor="P448" w:tooltip="ПЛАН МЕРОПРИЯТИЙ">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 регистрации прав собственности" согласно приложению N 3 к настоящему распоряжению;</w:t>
      </w:r>
    </w:p>
    <w:p>
      <w:pPr>
        <w:pStyle w:val="0"/>
        <w:spacing w:before="200" w:lineRule="auto"/>
        <w:ind w:firstLine="540"/>
        <w:jc w:val="both"/>
      </w:pPr>
      <w:r>
        <w:rPr>
          <w:sz w:val="20"/>
        </w:rPr>
        <w:t xml:space="preserve">1.4. </w:t>
      </w:r>
      <w:hyperlink w:history="0" w:anchor="P517" w:tooltip="ПЛАН">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постановки земельного участка на кадастровый учет" согласно приложению N 4 к настоящему распоряжению;</w:t>
      </w:r>
    </w:p>
    <w:p>
      <w:pPr>
        <w:pStyle w:val="0"/>
        <w:spacing w:before="200" w:lineRule="auto"/>
        <w:ind w:firstLine="540"/>
        <w:jc w:val="both"/>
      </w:pPr>
      <w:r>
        <w:rPr>
          <w:sz w:val="20"/>
        </w:rPr>
        <w:t xml:space="preserve">1.5. </w:t>
      </w:r>
      <w:hyperlink w:history="0" w:anchor="P593" w:tooltip="ПЛАН">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 получению в аренду земельных участков" согласно приложению N 5 к настоящему распоряжению;</w:t>
      </w:r>
    </w:p>
    <w:p>
      <w:pPr>
        <w:pStyle w:val="0"/>
        <w:spacing w:before="200" w:lineRule="auto"/>
        <w:ind w:firstLine="540"/>
        <w:jc w:val="both"/>
      </w:pPr>
      <w:r>
        <w:rPr>
          <w:sz w:val="20"/>
        </w:rPr>
        <w:t xml:space="preserve">1.6. </w:t>
      </w:r>
      <w:hyperlink w:history="0" w:anchor="P702" w:tooltip="ПЛАН">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 подключению электроэнергии" согласно приложению N 6 к настоящему распоряжению;</w:t>
      </w:r>
    </w:p>
    <w:p>
      <w:pPr>
        <w:pStyle w:val="0"/>
        <w:spacing w:before="200" w:lineRule="auto"/>
        <w:ind w:firstLine="540"/>
        <w:jc w:val="both"/>
      </w:pPr>
      <w:r>
        <w:rPr>
          <w:sz w:val="20"/>
        </w:rPr>
        <w:t xml:space="preserve">1.7. </w:t>
      </w:r>
      <w:hyperlink w:history="0" w:anchor="P802" w:tooltip="ПЛАН">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 подключению к газопроводу" согласно приложению N 7 к настоящему распоряжению;</w:t>
      </w:r>
    </w:p>
    <w:p>
      <w:pPr>
        <w:pStyle w:val="0"/>
        <w:spacing w:before="200" w:lineRule="auto"/>
        <w:ind w:firstLine="540"/>
        <w:jc w:val="both"/>
      </w:pPr>
      <w:r>
        <w:rPr>
          <w:sz w:val="20"/>
        </w:rPr>
        <w:t xml:space="preserve">1.8. </w:t>
      </w:r>
      <w:hyperlink w:history="0" w:anchor="P915" w:tooltip="ПЛАН">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 подключению к сетям водоснабжения и водоотведения" согласно приложению N 8 к настоящему распоряжению;</w:t>
      </w:r>
    </w:p>
    <w:p>
      <w:pPr>
        <w:pStyle w:val="0"/>
        <w:spacing w:before="200" w:lineRule="auto"/>
        <w:ind w:firstLine="540"/>
        <w:jc w:val="both"/>
      </w:pPr>
      <w:r>
        <w:rPr>
          <w:sz w:val="20"/>
        </w:rPr>
        <w:t xml:space="preserve">1.9. </w:t>
      </w:r>
      <w:hyperlink w:history="0" w:anchor="P1055" w:tooltip="ПЛАН">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"Эффективность процедур по вводу объекта в эксплуатацию" согласно приложению N 9 к настоящему распоряжению;</w:t>
      </w:r>
    </w:p>
    <w:p>
      <w:pPr>
        <w:pStyle w:val="0"/>
        <w:spacing w:before="200" w:lineRule="auto"/>
        <w:ind w:firstLine="540"/>
        <w:jc w:val="both"/>
      </w:pPr>
      <w:r>
        <w:rPr>
          <w:sz w:val="20"/>
        </w:rPr>
        <w:t xml:space="preserve">1.10. </w:t>
      </w:r>
      <w:hyperlink w:history="0" w:anchor="P1120" w:tooltip="ПЛАН МЕРОПРИЯТИЙ">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"Административное давление на бизнес" согласно приложению N 10 к настоящему распоряжению;</w:t>
      </w:r>
    </w:p>
    <w:p>
      <w:pPr>
        <w:pStyle w:val="0"/>
        <w:spacing w:before="200" w:lineRule="auto"/>
        <w:ind w:firstLine="540"/>
        <w:jc w:val="both"/>
      </w:pPr>
      <w:r>
        <w:rPr>
          <w:sz w:val="20"/>
        </w:rPr>
        <w:t xml:space="preserve">1.11. </w:t>
      </w:r>
      <w:hyperlink w:history="0" w:anchor="P1217" w:tooltip="ПЛАН МЕРОПРИЯТИЙ">
        <w:r>
          <w:rPr>
            <w:sz w:val="20"/>
            <w:color w:val="0000ff"/>
          </w:rPr>
          <w:t xml:space="preserve">план</w:t>
        </w:r>
      </w:hyperlink>
      <w:r>
        <w:rPr>
          <w:sz w:val="20"/>
        </w:rPr>
        <w:t xml:space="preserve"> мероприятий ("дорожную карту") по достижению целевых значений ключевых показателей эффективности Национальной модели по фактору "Силовое давление на бизнес" согласно приложению N 11 к настоящему распоряжению;</w:t>
      </w:r>
    </w:p>
    <w:p>
      <w:pPr>
        <w:pStyle w:val="0"/>
        <w:spacing w:before="200" w:lineRule="auto"/>
        <w:ind w:firstLine="540"/>
        <w:jc w:val="both"/>
      </w:pPr>
      <w:r>
        <w:rPr>
          <w:sz w:val="20"/>
        </w:rPr>
        <w:t xml:space="preserve">1.12. утратил силу. - </w:t>
      </w:r>
      <w:hyperlink w:history="0" r:id="rId10"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Распоряжение</w:t>
        </w:r>
      </w:hyperlink>
      <w:r>
        <w:rPr>
          <w:sz w:val="20"/>
        </w:rPr>
        <w:t xml:space="preserve"> Губернатора Сахалинской области от 18.12.2025 N 323-р;</w:t>
      </w:r>
    </w:p>
    <w:p>
      <w:pPr>
        <w:pStyle w:val="0"/>
        <w:spacing w:before="200" w:lineRule="auto"/>
        <w:ind w:firstLine="540"/>
        <w:jc w:val="both"/>
      </w:pPr>
      <w:r>
        <w:rPr>
          <w:sz w:val="20"/>
        </w:rPr>
        <w:t xml:space="preserve">1.13. </w:t>
      </w:r>
      <w:hyperlink w:history="0" w:anchor="P1295" w:tooltip="ПЕРЕЧЕНЬ">
        <w:r>
          <w:rPr>
            <w:sz w:val="20"/>
            <w:color w:val="0000ff"/>
          </w:rPr>
          <w:t xml:space="preserve">перечень</w:t>
        </w:r>
      </w:hyperlink>
      <w:r>
        <w:rPr>
          <w:sz w:val="20"/>
        </w:rPr>
        <w:t xml:space="preserve"> ответственных исполнительных органов Сахалинской области, территориальных органов федеральных органов исполнительной власти по Сахалинской области (по согласованию), подразделений Правительства Сахалинской области за реализацию планов мероприятий ("дорожных карт") по достижению целевых значений ключевых показателей эффективности Национальной модели (далее - "Дорожная карта") согласно приложению N 13 к настоящему распоряжению.</w:t>
      </w:r>
    </w:p>
    <w:p>
      <w:pPr>
        <w:pStyle w:val="0"/>
        <w:spacing w:before="200" w:lineRule="auto"/>
        <w:ind w:firstLine="540"/>
        <w:jc w:val="both"/>
      </w:pPr>
      <w:r>
        <w:rPr>
          <w:sz w:val="20"/>
        </w:rPr>
        <w:t xml:space="preserve">2. Руководителям ответственных исполнительных органов Сахалинской области, структурных подразделений Правительства Сахалинской области обеспечить:</w:t>
      </w:r>
    </w:p>
    <w:p>
      <w:pPr>
        <w:pStyle w:val="0"/>
        <w:spacing w:before="200" w:lineRule="auto"/>
        <w:ind w:firstLine="540"/>
        <w:jc w:val="both"/>
      </w:pPr>
      <w:r>
        <w:rPr>
          <w:sz w:val="20"/>
        </w:rPr>
        <w:t xml:space="preserve">2.1. достижение целевых значений ключевых показателей эффективности Национальной модели и реализацию "Дорожных карт";</w:t>
      </w:r>
    </w:p>
    <w:p>
      <w:pPr>
        <w:pStyle w:val="0"/>
        <w:spacing w:before="200" w:lineRule="auto"/>
        <w:ind w:firstLine="540"/>
        <w:jc w:val="both"/>
      </w:pPr>
      <w:r>
        <w:rPr>
          <w:sz w:val="20"/>
        </w:rPr>
        <w:t xml:space="preserve">2.2. при необходимости внесение изменений и дополнений в "Дорожные карты" в соответствии с </w:t>
      </w:r>
      <w:hyperlink w:history="0" r:id="rId11" w:tooltip="Указ Губернатора Сахалинской области от 22.09.2023 N 46 (ред. от 05.02.2025) &quot;Об утверждении Порядка принятия правовых актов Губернатора Сахалинской области, правовых актов Правительства Сахалинской области&quot; {КонсультантПлюс}">
        <w:r>
          <w:rPr>
            <w:sz w:val="20"/>
            <w:color w:val="0000ff"/>
          </w:rPr>
          <w:t xml:space="preserve">Порядком</w:t>
        </w:r>
      </w:hyperlink>
      <w:r>
        <w:rPr>
          <w:sz w:val="20"/>
        </w:rPr>
        <w:t xml:space="preserve"> принятия правовых актов Губернатора Сахалинской области, правовых актов Правительства Сахалинской области, утвержденным указом Губернатора Сахалинской области от 22.09.2023 N 46.</w:t>
      </w:r>
    </w:p>
    <w:p>
      <w:pPr>
        <w:pStyle w:val="0"/>
        <w:spacing w:before="200" w:lineRule="auto"/>
        <w:ind w:firstLine="540"/>
        <w:jc w:val="both"/>
      </w:pPr>
      <w:r>
        <w:rPr>
          <w:sz w:val="20"/>
        </w:rPr>
        <w:t xml:space="preserve">3. Рекомендовать Управлению Федеральной службы государственной регистрации кадастра и картографии по Сахалинской области обеспечить:</w:t>
      </w:r>
    </w:p>
    <w:p>
      <w:pPr>
        <w:pStyle w:val="0"/>
        <w:spacing w:before="200" w:lineRule="auto"/>
        <w:ind w:firstLine="540"/>
        <w:jc w:val="both"/>
      </w:pPr>
      <w:r>
        <w:rPr>
          <w:sz w:val="20"/>
        </w:rPr>
        <w:t xml:space="preserve">3.1. достижение целевых значений ключевых показателей эффективности Национальной модели и реализацию "Дорожной карты" по фактору "Эффективность процедур по регистрации прав собственности";</w:t>
      </w:r>
    </w:p>
    <w:p>
      <w:pPr>
        <w:pStyle w:val="0"/>
        <w:spacing w:before="200" w:lineRule="auto"/>
        <w:ind w:firstLine="540"/>
        <w:jc w:val="both"/>
      </w:pPr>
      <w:r>
        <w:rPr>
          <w:sz w:val="20"/>
        </w:rPr>
        <w:t xml:space="preserve">3.2. направление информации в министерство имущественных и земельных отношений Сахалинской области при необходимости внесения изменений и дополнений в "Дорожную карту" по фактору "Эффективность процедур по регистрации прав собственности".</w:t>
      </w:r>
    </w:p>
    <w:p>
      <w:pPr>
        <w:pStyle w:val="0"/>
        <w:spacing w:before="200" w:lineRule="auto"/>
        <w:ind w:firstLine="540"/>
        <w:jc w:val="both"/>
      </w:pPr>
      <w:r>
        <w:rPr>
          <w:sz w:val="20"/>
        </w:rPr>
        <w:t xml:space="preserve">4. Ежегодный мониторинг достижения целевых значений ключевых показателей эффективности Национальной модели осуществляется на заседании совета по инвестиционной деятельности при Правительстве Сахалинской области по итогам Национального рейтинга состояния инвестиционного климата в субъектах Российской Федерации.</w:t>
      </w:r>
    </w:p>
    <w:p>
      <w:pPr>
        <w:pStyle w:val="0"/>
        <w:spacing w:before="200" w:lineRule="auto"/>
        <w:ind w:firstLine="540"/>
        <w:jc w:val="both"/>
      </w:pPr>
      <w:r>
        <w:rPr>
          <w:sz w:val="20"/>
        </w:rPr>
        <w:t xml:space="preserve">5. Контроль за исполнением настоящего распоряжения возложить на заместителя председателя Правительства Сахалинской области А.В.Зайцева.</w:t>
      </w:r>
    </w:p>
    <w:p>
      <w:pPr>
        <w:pStyle w:val="0"/>
      </w:pPr>
      <w:r>
        <w:rPr>
          <w:sz w:val="20"/>
        </w:rPr>
      </w:r>
    </w:p>
    <w:p>
      <w:pPr>
        <w:pStyle w:val="0"/>
        <w:jc w:val="right"/>
      </w:pPr>
      <w:r>
        <w:rPr>
          <w:sz w:val="20"/>
        </w:rPr>
        <w:t xml:space="preserve">Губернатор</w:t>
      </w:r>
    </w:p>
    <w:p>
      <w:pPr>
        <w:pStyle w:val="0"/>
        <w:jc w:val="right"/>
      </w:pPr>
      <w:r>
        <w:rPr>
          <w:sz w:val="20"/>
        </w:rPr>
        <w:t xml:space="preserve">Сахалинской области</w:t>
      </w:r>
    </w:p>
    <w:p>
      <w:pPr>
        <w:pStyle w:val="0"/>
        <w:jc w:val="right"/>
      </w:pPr>
      <w:r>
        <w:rPr>
          <w:sz w:val="20"/>
        </w:rPr>
        <w:t xml:space="preserve">В.И.Лимаренко</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52" w:name="P52"/>
    <w:bookmarkEnd w:id="52"/>
    <w:p>
      <w:pPr>
        <w:pStyle w:val="2"/>
        <w:jc w:val="center"/>
      </w:pPr>
      <w:r>
        <w:rPr>
          <w:sz w:val="20"/>
        </w:rPr>
        <w:t xml:space="preserve">ЦЕЛЕВЫЕ ЗНАЧЕНИЯ</w:t>
      </w:r>
    </w:p>
    <w:p>
      <w:pPr>
        <w:pStyle w:val="2"/>
        <w:jc w:val="center"/>
      </w:pPr>
      <w:r>
        <w:rPr>
          <w:sz w:val="20"/>
        </w:rPr>
        <w:t xml:space="preserve">КЛЮЧЕВЫХ ПОКАЗАТЕЛЕЙ ЭФФЕКТИВНОСТИ НАЦИОНАЛЬНОЙ МОДЕЛИ</w:t>
      </w:r>
    </w:p>
    <w:p>
      <w:pPr>
        <w:pStyle w:val="2"/>
        <w:jc w:val="center"/>
      </w:pPr>
      <w:r>
        <w:rPr>
          <w:sz w:val="20"/>
        </w:rPr>
        <w:t xml:space="preserve">ЦЕЛЕВЫХ УСЛОВИЙ ВЕДЕНИЯ БИЗНЕСА В САХАЛИНСКОЙ ОБЛАСТИ</w:t>
      </w:r>
    </w:p>
    <w:p>
      <w:pPr>
        <w:pStyle w:val="2"/>
        <w:jc w:val="center"/>
      </w:pPr>
      <w:r>
        <w:rPr>
          <w:sz w:val="20"/>
        </w:rPr>
        <w:t xml:space="preserve">ДО 2030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2"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18.12.2025 N 323-р)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211"/>
        <w:gridCol w:w="1368"/>
        <w:gridCol w:w="821"/>
        <w:gridCol w:w="821"/>
        <w:gridCol w:w="821"/>
        <w:gridCol w:w="821"/>
        <w:gridCol w:w="821"/>
        <w:gridCol w:w="825"/>
      </w:tblGrid>
      <w:tr>
        <w:tc>
          <w:tcPr>
            <w:tcW w:w="567" w:type="dxa"/>
            <w:vMerge w:val="restart"/>
          </w:tcPr>
          <w:p>
            <w:pPr>
              <w:pStyle w:val="0"/>
              <w:jc w:val="center"/>
            </w:pPr>
            <w:r>
              <w:rPr>
                <w:sz w:val="20"/>
              </w:rPr>
              <w:t xml:space="preserve">N пп.</w:t>
            </w:r>
          </w:p>
        </w:tc>
        <w:tc>
          <w:tcPr>
            <w:tcW w:w="2211" w:type="dxa"/>
            <w:vMerge w:val="restart"/>
          </w:tcPr>
          <w:p>
            <w:pPr>
              <w:pStyle w:val="0"/>
              <w:jc w:val="center"/>
            </w:pPr>
            <w:r>
              <w:rPr>
                <w:sz w:val="20"/>
              </w:rPr>
              <w:t xml:space="preserve">Наименование показателя</w:t>
            </w:r>
          </w:p>
        </w:tc>
        <w:tc>
          <w:tcPr>
            <w:tcW w:w="1368" w:type="dxa"/>
            <w:vMerge w:val="restart"/>
          </w:tcPr>
          <w:p>
            <w:pPr>
              <w:pStyle w:val="0"/>
              <w:jc w:val="center"/>
            </w:pPr>
            <w:r>
              <w:rPr>
                <w:sz w:val="20"/>
              </w:rPr>
              <w:t xml:space="preserve">Единица измерения</w:t>
            </w:r>
          </w:p>
        </w:tc>
        <w:tc>
          <w:tcPr>
            <w:tcW w:w="821" w:type="dxa"/>
            <w:vMerge w:val="restart"/>
          </w:tcPr>
          <w:p>
            <w:pPr>
              <w:pStyle w:val="0"/>
              <w:jc w:val="center"/>
            </w:pPr>
            <w:r>
              <w:rPr>
                <w:sz w:val="20"/>
              </w:rPr>
              <w:t xml:space="preserve">2025 </w:t>
            </w:r>
            <w:hyperlink w:history="0" w:anchor="P294" w:tooltip="&lt;1&gt; Результат Сахалинской области в Национальном рейтинге состояния инвестиционного климата в субъектах Российской Федерации 2025.">
              <w:r>
                <w:rPr>
                  <w:sz w:val="20"/>
                  <w:color w:val="0000ff"/>
                </w:rPr>
                <w:t xml:space="preserve">&lt;1&gt;</w:t>
              </w:r>
            </w:hyperlink>
          </w:p>
        </w:tc>
        <w:tc>
          <w:tcPr>
            <w:gridSpan w:val="5"/>
            <w:tcW w:w="4109" w:type="dxa"/>
          </w:tcPr>
          <w:p>
            <w:pPr>
              <w:pStyle w:val="0"/>
              <w:jc w:val="center"/>
            </w:pPr>
            <w:r>
              <w:rPr>
                <w:sz w:val="20"/>
              </w:rPr>
              <w:t xml:space="preserve">Целевое значение показателя</w:t>
            </w:r>
          </w:p>
        </w:tc>
      </w:tr>
      <w:tr>
        <w:tc>
          <w:tcPr>
            <w:vMerge w:val="continue"/>
          </w:tcPr>
          <w:p/>
        </w:tc>
        <w:tc>
          <w:tcPr>
            <w:vMerge w:val="continue"/>
          </w:tcPr>
          <w:p/>
        </w:tc>
        <w:tc>
          <w:tcPr>
            <w:vMerge w:val="continue"/>
          </w:tcPr>
          <w:p/>
        </w:tc>
        <w:tc>
          <w:tcPr>
            <w:vMerge w:val="continue"/>
          </w:tcPr>
          <w:p/>
        </w:tc>
        <w:tc>
          <w:tcPr>
            <w:tcW w:w="821" w:type="dxa"/>
          </w:tcPr>
          <w:p>
            <w:pPr>
              <w:pStyle w:val="0"/>
              <w:jc w:val="center"/>
            </w:pPr>
            <w:r>
              <w:rPr>
                <w:sz w:val="20"/>
              </w:rPr>
              <w:t xml:space="preserve">2026</w:t>
            </w:r>
          </w:p>
        </w:tc>
        <w:tc>
          <w:tcPr>
            <w:tcW w:w="821" w:type="dxa"/>
          </w:tcPr>
          <w:p>
            <w:pPr>
              <w:pStyle w:val="0"/>
              <w:jc w:val="center"/>
            </w:pPr>
            <w:r>
              <w:rPr>
                <w:sz w:val="20"/>
              </w:rPr>
              <w:t xml:space="preserve">2027</w:t>
            </w:r>
          </w:p>
        </w:tc>
        <w:tc>
          <w:tcPr>
            <w:tcW w:w="821" w:type="dxa"/>
          </w:tcPr>
          <w:p>
            <w:pPr>
              <w:pStyle w:val="0"/>
              <w:jc w:val="center"/>
            </w:pPr>
            <w:r>
              <w:rPr>
                <w:sz w:val="20"/>
              </w:rPr>
              <w:t xml:space="preserve">2028</w:t>
            </w:r>
          </w:p>
        </w:tc>
        <w:tc>
          <w:tcPr>
            <w:tcW w:w="821" w:type="dxa"/>
          </w:tcPr>
          <w:p>
            <w:pPr>
              <w:pStyle w:val="0"/>
              <w:jc w:val="center"/>
            </w:pPr>
            <w:r>
              <w:rPr>
                <w:sz w:val="20"/>
              </w:rPr>
              <w:t xml:space="preserve">2029</w:t>
            </w:r>
          </w:p>
        </w:tc>
        <w:tc>
          <w:tcPr>
            <w:tcW w:w="825" w:type="dxa"/>
          </w:tcPr>
          <w:p>
            <w:pPr>
              <w:pStyle w:val="0"/>
              <w:jc w:val="center"/>
            </w:pPr>
            <w:r>
              <w:rPr>
                <w:sz w:val="20"/>
              </w:rPr>
              <w:t xml:space="preserve">2030</w:t>
            </w:r>
          </w:p>
        </w:tc>
      </w:tr>
      <w:tr>
        <w:tc>
          <w:tcPr>
            <w:tcW w:w="567" w:type="dxa"/>
          </w:tcPr>
          <w:p>
            <w:pPr>
              <w:pStyle w:val="0"/>
            </w:pPr>
            <w:r>
              <w:rPr>
                <w:sz w:val="20"/>
              </w:rPr>
              <w:t xml:space="preserve">1.</w:t>
            </w:r>
          </w:p>
        </w:tc>
        <w:tc>
          <w:tcPr>
            <w:tcW w:w="2211" w:type="dxa"/>
          </w:tcPr>
          <w:p>
            <w:pPr>
              <w:pStyle w:val="0"/>
            </w:pPr>
            <w:r>
              <w:rPr>
                <w:sz w:val="20"/>
              </w:rPr>
              <w:t xml:space="preserve">Среднее время получения разрешения на строительство</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49,07</w:t>
            </w:r>
          </w:p>
        </w:tc>
        <w:tc>
          <w:tcPr>
            <w:tcW w:w="821" w:type="dxa"/>
          </w:tcPr>
          <w:p>
            <w:pPr>
              <w:pStyle w:val="0"/>
              <w:jc w:val="center"/>
            </w:pPr>
            <w:r>
              <w:rPr>
                <w:sz w:val="20"/>
              </w:rPr>
              <w:t xml:space="preserve">49,07</w:t>
            </w:r>
          </w:p>
        </w:tc>
        <w:tc>
          <w:tcPr>
            <w:tcW w:w="821" w:type="dxa"/>
          </w:tcPr>
          <w:p>
            <w:pPr>
              <w:pStyle w:val="0"/>
              <w:jc w:val="center"/>
            </w:pPr>
            <w:r>
              <w:rPr>
                <w:sz w:val="20"/>
              </w:rPr>
              <w:t xml:space="preserve">48,57</w:t>
            </w:r>
          </w:p>
        </w:tc>
        <w:tc>
          <w:tcPr>
            <w:tcW w:w="821" w:type="dxa"/>
          </w:tcPr>
          <w:p>
            <w:pPr>
              <w:pStyle w:val="0"/>
              <w:jc w:val="center"/>
            </w:pPr>
            <w:r>
              <w:rPr>
                <w:sz w:val="20"/>
              </w:rPr>
              <w:t xml:space="preserve">46,85</w:t>
            </w:r>
          </w:p>
        </w:tc>
        <w:tc>
          <w:tcPr>
            <w:tcW w:w="821" w:type="dxa"/>
          </w:tcPr>
          <w:p>
            <w:pPr>
              <w:pStyle w:val="0"/>
              <w:jc w:val="center"/>
            </w:pPr>
            <w:r>
              <w:rPr>
                <w:sz w:val="20"/>
              </w:rPr>
              <w:t xml:space="preserve">45,55</w:t>
            </w:r>
          </w:p>
        </w:tc>
        <w:tc>
          <w:tcPr>
            <w:tcW w:w="825" w:type="dxa"/>
          </w:tcPr>
          <w:p>
            <w:pPr>
              <w:pStyle w:val="0"/>
              <w:jc w:val="center"/>
            </w:pPr>
            <w:r>
              <w:rPr>
                <w:sz w:val="20"/>
              </w:rPr>
              <w:t xml:space="preserve">44,50</w:t>
            </w:r>
          </w:p>
        </w:tc>
      </w:tr>
      <w:tr>
        <w:tc>
          <w:tcPr>
            <w:tcW w:w="567" w:type="dxa"/>
          </w:tcPr>
          <w:p>
            <w:pPr>
              <w:pStyle w:val="0"/>
            </w:pPr>
            <w:r>
              <w:rPr>
                <w:sz w:val="20"/>
              </w:rPr>
              <w:t xml:space="preserve">2.</w:t>
            </w:r>
          </w:p>
        </w:tc>
        <w:tc>
          <w:tcPr>
            <w:tcW w:w="2211" w:type="dxa"/>
          </w:tcPr>
          <w:p>
            <w:pPr>
              <w:pStyle w:val="0"/>
            </w:pPr>
            <w:r>
              <w:rPr>
                <w:sz w:val="20"/>
              </w:rPr>
              <w:t xml:space="preserve">Среднее количество процедур, необходимых для получения разрешения на строительство</w:t>
            </w:r>
          </w:p>
        </w:tc>
        <w:tc>
          <w:tcPr>
            <w:tcW w:w="1368" w:type="dxa"/>
          </w:tcPr>
          <w:p>
            <w:pPr>
              <w:pStyle w:val="0"/>
              <w:jc w:val="center"/>
            </w:pPr>
            <w:r>
              <w:rPr>
                <w:sz w:val="20"/>
              </w:rPr>
              <w:t xml:space="preserve">шт.</w:t>
            </w:r>
          </w:p>
        </w:tc>
        <w:tc>
          <w:tcPr>
            <w:tcW w:w="821" w:type="dxa"/>
          </w:tcPr>
          <w:p>
            <w:pPr>
              <w:pStyle w:val="0"/>
              <w:jc w:val="center"/>
            </w:pPr>
            <w:r>
              <w:rPr>
                <w:sz w:val="20"/>
              </w:rPr>
              <w:t xml:space="preserve">5,17</w:t>
            </w:r>
          </w:p>
        </w:tc>
        <w:tc>
          <w:tcPr>
            <w:tcW w:w="821" w:type="dxa"/>
          </w:tcPr>
          <w:p>
            <w:pPr>
              <w:pStyle w:val="0"/>
              <w:jc w:val="center"/>
            </w:pPr>
            <w:r>
              <w:rPr>
                <w:sz w:val="20"/>
              </w:rPr>
              <w:t xml:space="preserve">5,17</w:t>
            </w:r>
          </w:p>
        </w:tc>
        <w:tc>
          <w:tcPr>
            <w:tcW w:w="821" w:type="dxa"/>
          </w:tcPr>
          <w:p>
            <w:pPr>
              <w:pStyle w:val="0"/>
              <w:jc w:val="center"/>
            </w:pPr>
            <w:r>
              <w:rPr>
                <w:sz w:val="20"/>
              </w:rPr>
              <w:t xml:space="preserve">5,14</w:t>
            </w:r>
          </w:p>
        </w:tc>
        <w:tc>
          <w:tcPr>
            <w:tcW w:w="821" w:type="dxa"/>
          </w:tcPr>
          <w:p>
            <w:pPr>
              <w:pStyle w:val="0"/>
              <w:jc w:val="center"/>
            </w:pPr>
            <w:r>
              <w:rPr>
                <w:sz w:val="20"/>
              </w:rPr>
              <w:t xml:space="preserve">5,12</w:t>
            </w:r>
          </w:p>
        </w:tc>
        <w:tc>
          <w:tcPr>
            <w:tcW w:w="821" w:type="dxa"/>
          </w:tcPr>
          <w:p>
            <w:pPr>
              <w:pStyle w:val="0"/>
              <w:jc w:val="center"/>
            </w:pPr>
            <w:r>
              <w:rPr>
                <w:sz w:val="20"/>
              </w:rPr>
              <w:t xml:space="preserve">5,10</w:t>
            </w:r>
          </w:p>
        </w:tc>
        <w:tc>
          <w:tcPr>
            <w:tcW w:w="825" w:type="dxa"/>
          </w:tcPr>
          <w:p>
            <w:pPr>
              <w:pStyle w:val="0"/>
              <w:jc w:val="center"/>
            </w:pPr>
            <w:r>
              <w:rPr>
                <w:sz w:val="20"/>
              </w:rPr>
              <w:t xml:space="preserve">5,00</w:t>
            </w:r>
          </w:p>
        </w:tc>
      </w:tr>
      <w:tr>
        <w:tc>
          <w:tcPr>
            <w:tcW w:w="567" w:type="dxa"/>
          </w:tcPr>
          <w:p>
            <w:pPr>
              <w:pStyle w:val="0"/>
            </w:pPr>
            <w:r>
              <w:rPr>
                <w:sz w:val="20"/>
              </w:rPr>
              <w:t xml:space="preserve">3.</w:t>
            </w:r>
          </w:p>
        </w:tc>
        <w:tc>
          <w:tcPr>
            <w:tcW w:w="2211" w:type="dxa"/>
          </w:tcPr>
          <w:p>
            <w:pPr>
              <w:pStyle w:val="0"/>
            </w:pPr>
            <w:r>
              <w:rPr>
                <w:sz w:val="20"/>
              </w:rPr>
              <w:t xml:space="preserve">Среднее время регистрации прав собственности</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2,68</w:t>
            </w:r>
          </w:p>
        </w:tc>
        <w:tc>
          <w:tcPr>
            <w:tcW w:w="821" w:type="dxa"/>
          </w:tcPr>
          <w:p>
            <w:pPr>
              <w:pStyle w:val="0"/>
              <w:jc w:val="center"/>
            </w:pPr>
            <w:r>
              <w:rPr>
                <w:sz w:val="20"/>
              </w:rPr>
              <w:t xml:space="preserve">2,00</w:t>
            </w:r>
          </w:p>
        </w:tc>
        <w:tc>
          <w:tcPr>
            <w:tcW w:w="821" w:type="dxa"/>
          </w:tcPr>
          <w:p>
            <w:pPr>
              <w:pStyle w:val="0"/>
              <w:jc w:val="center"/>
            </w:pPr>
            <w:r>
              <w:rPr>
                <w:sz w:val="20"/>
              </w:rPr>
              <w:t xml:space="preserve">2,00</w:t>
            </w:r>
          </w:p>
        </w:tc>
        <w:tc>
          <w:tcPr>
            <w:tcW w:w="821" w:type="dxa"/>
          </w:tcPr>
          <w:p>
            <w:pPr>
              <w:pStyle w:val="0"/>
              <w:jc w:val="center"/>
            </w:pPr>
            <w:r>
              <w:rPr>
                <w:sz w:val="20"/>
              </w:rPr>
              <w:t xml:space="preserve">2,00</w:t>
            </w:r>
          </w:p>
        </w:tc>
        <w:tc>
          <w:tcPr>
            <w:tcW w:w="821" w:type="dxa"/>
          </w:tcPr>
          <w:p>
            <w:pPr>
              <w:pStyle w:val="0"/>
              <w:jc w:val="center"/>
            </w:pPr>
            <w:r>
              <w:rPr>
                <w:sz w:val="20"/>
              </w:rPr>
              <w:t xml:space="preserve">2,00</w:t>
            </w:r>
          </w:p>
        </w:tc>
        <w:tc>
          <w:tcPr>
            <w:tcW w:w="825" w:type="dxa"/>
          </w:tcPr>
          <w:p>
            <w:pPr>
              <w:pStyle w:val="0"/>
              <w:jc w:val="center"/>
            </w:pPr>
            <w:r>
              <w:rPr>
                <w:sz w:val="20"/>
              </w:rPr>
              <w:t xml:space="preserve">2,00</w:t>
            </w:r>
          </w:p>
        </w:tc>
      </w:tr>
      <w:tr>
        <w:tc>
          <w:tcPr>
            <w:tcW w:w="567" w:type="dxa"/>
          </w:tcPr>
          <w:p>
            <w:pPr>
              <w:pStyle w:val="0"/>
            </w:pPr>
            <w:r>
              <w:rPr>
                <w:sz w:val="20"/>
              </w:rPr>
              <w:t xml:space="preserve">4.</w:t>
            </w:r>
          </w:p>
        </w:tc>
        <w:tc>
          <w:tcPr>
            <w:tcW w:w="2211" w:type="dxa"/>
          </w:tcPr>
          <w:p>
            <w:pPr>
              <w:pStyle w:val="0"/>
            </w:pPr>
            <w:r>
              <w:rPr>
                <w:sz w:val="20"/>
              </w:rPr>
              <w:t xml:space="preserve">Среднее количество процедур при регистрации прав собственности</w:t>
            </w:r>
          </w:p>
        </w:tc>
        <w:tc>
          <w:tcPr>
            <w:tcW w:w="1368" w:type="dxa"/>
          </w:tcPr>
          <w:p>
            <w:pPr>
              <w:pStyle w:val="0"/>
              <w:jc w:val="center"/>
            </w:pPr>
            <w:r>
              <w:rPr>
                <w:sz w:val="20"/>
              </w:rPr>
              <w:t xml:space="preserve">шт.</w:t>
            </w:r>
          </w:p>
        </w:tc>
        <w:tc>
          <w:tcPr>
            <w:tcW w:w="821" w:type="dxa"/>
          </w:tcPr>
          <w:p>
            <w:pPr>
              <w:pStyle w:val="0"/>
              <w:jc w:val="center"/>
            </w:pPr>
            <w:r>
              <w:rPr>
                <w:sz w:val="20"/>
              </w:rPr>
              <w:t xml:space="preserve">1,14</w:t>
            </w:r>
          </w:p>
        </w:tc>
        <w:tc>
          <w:tcPr>
            <w:tcW w:w="821" w:type="dxa"/>
          </w:tcPr>
          <w:p>
            <w:pPr>
              <w:pStyle w:val="0"/>
              <w:jc w:val="center"/>
            </w:pPr>
            <w:r>
              <w:rPr>
                <w:sz w:val="20"/>
              </w:rPr>
              <w:t xml:space="preserve">1,00</w:t>
            </w:r>
          </w:p>
        </w:tc>
        <w:tc>
          <w:tcPr>
            <w:tcW w:w="821" w:type="dxa"/>
          </w:tcPr>
          <w:p>
            <w:pPr>
              <w:pStyle w:val="0"/>
              <w:jc w:val="center"/>
            </w:pPr>
            <w:r>
              <w:rPr>
                <w:sz w:val="20"/>
              </w:rPr>
              <w:t xml:space="preserve">1,00</w:t>
            </w:r>
          </w:p>
        </w:tc>
        <w:tc>
          <w:tcPr>
            <w:tcW w:w="821" w:type="dxa"/>
          </w:tcPr>
          <w:p>
            <w:pPr>
              <w:pStyle w:val="0"/>
              <w:jc w:val="center"/>
            </w:pPr>
            <w:r>
              <w:rPr>
                <w:sz w:val="20"/>
              </w:rPr>
              <w:t xml:space="preserve">1,00</w:t>
            </w:r>
          </w:p>
        </w:tc>
        <w:tc>
          <w:tcPr>
            <w:tcW w:w="821" w:type="dxa"/>
          </w:tcPr>
          <w:p>
            <w:pPr>
              <w:pStyle w:val="0"/>
              <w:jc w:val="center"/>
            </w:pPr>
            <w:r>
              <w:rPr>
                <w:sz w:val="20"/>
              </w:rPr>
              <w:t xml:space="preserve">1,00</w:t>
            </w:r>
          </w:p>
        </w:tc>
        <w:tc>
          <w:tcPr>
            <w:tcW w:w="825" w:type="dxa"/>
          </w:tcPr>
          <w:p>
            <w:pPr>
              <w:pStyle w:val="0"/>
              <w:jc w:val="center"/>
            </w:pPr>
            <w:r>
              <w:rPr>
                <w:sz w:val="20"/>
              </w:rPr>
              <w:t xml:space="preserve">1,00</w:t>
            </w:r>
          </w:p>
        </w:tc>
      </w:tr>
      <w:tr>
        <w:tc>
          <w:tcPr>
            <w:tcW w:w="567" w:type="dxa"/>
          </w:tcPr>
          <w:p>
            <w:pPr>
              <w:pStyle w:val="0"/>
            </w:pPr>
            <w:r>
              <w:rPr>
                <w:sz w:val="20"/>
              </w:rPr>
              <w:t xml:space="preserve">5.</w:t>
            </w:r>
          </w:p>
        </w:tc>
        <w:tc>
          <w:tcPr>
            <w:tcW w:w="2211" w:type="dxa"/>
          </w:tcPr>
          <w:p>
            <w:pPr>
              <w:pStyle w:val="0"/>
            </w:pPr>
            <w:r>
              <w:rPr>
                <w:sz w:val="20"/>
              </w:rPr>
              <w:t xml:space="preserve">Среднее время подключения к электросетям</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32,10</w:t>
            </w:r>
          </w:p>
        </w:tc>
        <w:tc>
          <w:tcPr>
            <w:tcW w:w="821" w:type="dxa"/>
          </w:tcPr>
          <w:p>
            <w:pPr>
              <w:pStyle w:val="0"/>
              <w:jc w:val="center"/>
            </w:pPr>
            <w:r>
              <w:rPr>
                <w:sz w:val="20"/>
              </w:rPr>
              <w:t xml:space="preserve">32,10</w:t>
            </w:r>
          </w:p>
        </w:tc>
        <w:tc>
          <w:tcPr>
            <w:tcW w:w="821" w:type="dxa"/>
          </w:tcPr>
          <w:p>
            <w:pPr>
              <w:pStyle w:val="0"/>
              <w:jc w:val="center"/>
            </w:pPr>
            <w:r>
              <w:rPr>
                <w:sz w:val="20"/>
              </w:rPr>
              <w:t xml:space="preserve">31,60</w:t>
            </w:r>
          </w:p>
        </w:tc>
        <w:tc>
          <w:tcPr>
            <w:tcW w:w="821" w:type="dxa"/>
          </w:tcPr>
          <w:p>
            <w:pPr>
              <w:pStyle w:val="0"/>
              <w:jc w:val="center"/>
            </w:pPr>
            <w:r>
              <w:rPr>
                <w:sz w:val="20"/>
              </w:rPr>
              <w:t xml:space="preserve">31,40</w:t>
            </w:r>
          </w:p>
        </w:tc>
        <w:tc>
          <w:tcPr>
            <w:tcW w:w="821" w:type="dxa"/>
          </w:tcPr>
          <w:p>
            <w:pPr>
              <w:pStyle w:val="0"/>
              <w:jc w:val="center"/>
            </w:pPr>
            <w:r>
              <w:rPr>
                <w:sz w:val="20"/>
              </w:rPr>
              <w:t xml:space="preserve">31,10</w:t>
            </w:r>
          </w:p>
        </w:tc>
        <w:tc>
          <w:tcPr>
            <w:tcW w:w="825" w:type="dxa"/>
          </w:tcPr>
          <w:p>
            <w:pPr>
              <w:pStyle w:val="0"/>
              <w:jc w:val="center"/>
            </w:pPr>
            <w:r>
              <w:rPr>
                <w:sz w:val="20"/>
              </w:rPr>
              <w:t xml:space="preserve">30,58</w:t>
            </w:r>
          </w:p>
        </w:tc>
      </w:tr>
      <w:tr>
        <w:tc>
          <w:tcPr>
            <w:tcW w:w="567" w:type="dxa"/>
          </w:tcPr>
          <w:p>
            <w:pPr>
              <w:pStyle w:val="0"/>
            </w:pPr>
            <w:r>
              <w:rPr>
                <w:sz w:val="20"/>
              </w:rPr>
              <w:t xml:space="preserve">6.</w:t>
            </w:r>
          </w:p>
        </w:tc>
        <w:tc>
          <w:tcPr>
            <w:tcW w:w="2211" w:type="dxa"/>
          </w:tcPr>
          <w:p>
            <w:pPr>
              <w:pStyle w:val="0"/>
            </w:pPr>
            <w:r>
              <w:rPr>
                <w:sz w:val="20"/>
              </w:rPr>
              <w:t xml:space="preserve">Среднее количество процедур при подключении к электросетям</w:t>
            </w:r>
          </w:p>
        </w:tc>
        <w:tc>
          <w:tcPr>
            <w:tcW w:w="1368" w:type="dxa"/>
          </w:tcPr>
          <w:p>
            <w:pPr>
              <w:pStyle w:val="0"/>
              <w:jc w:val="center"/>
            </w:pPr>
            <w:r>
              <w:rPr>
                <w:sz w:val="20"/>
              </w:rPr>
              <w:t xml:space="preserve">шт.</w:t>
            </w:r>
          </w:p>
        </w:tc>
        <w:tc>
          <w:tcPr>
            <w:tcW w:w="821" w:type="dxa"/>
          </w:tcPr>
          <w:p>
            <w:pPr>
              <w:pStyle w:val="0"/>
              <w:jc w:val="center"/>
            </w:pPr>
            <w:r>
              <w:rPr>
                <w:sz w:val="20"/>
              </w:rPr>
              <w:t xml:space="preserve">2,19</w:t>
            </w:r>
          </w:p>
        </w:tc>
        <w:tc>
          <w:tcPr>
            <w:tcW w:w="821" w:type="dxa"/>
          </w:tcPr>
          <w:p>
            <w:pPr>
              <w:pStyle w:val="0"/>
              <w:jc w:val="center"/>
            </w:pPr>
            <w:r>
              <w:rPr>
                <w:sz w:val="20"/>
              </w:rPr>
              <w:t xml:space="preserve">2,19</w:t>
            </w:r>
          </w:p>
        </w:tc>
        <w:tc>
          <w:tcPr>
            <w:tcW w:w="821" w:type="dxa"/>
          </w:tcPr>
          <w:p>
            <w:pPr>
              <w:pStyle w:val="0"/>
              <w:jc w:val="center"/>
            </w:pPr>
            <w:r>
              <w:rPr>
                <w:sz w:val="20"/>
              </w:rPr>
              <w:t xml:space="preserve">2,17</w:t>
            </w:r>
          </w:p>
        </w:tc>
        <w:tc>
          <w:tcPr>
            <w:tcW w:w="821" w:type="dxa"/>
          </w:tcPr>
          <w:p>
            <w:pPr>
              <w:pStyle w:val="0"/>
              <w:jc w:val="center"/>
            </w:pPr>
            <w:r>
              <w:rPr>
                <w:sz w:val="20"/>
              </w:rPr>
              <w:t xml:space="preserve">2,15</w:t>
            </w:r>
          </w:p>
        </w:tc>
        <w:tc>
          <w:tcPr>
            <w:tcW w:w="821" w:type="dxa"/>
          </w:tcPr>
          <w:p>
            <w:pPr>
              <w:pStyle w:val="0"/>
              <w:jc w:val="center"/>
            </w:pPr>
            <w:r>
              <w:rPr>
                <w:sz w:val="20"/>
              </w:rPr>
              <w:t xml:space="preserve">2,13</w:t>
            </w:r>
          </w:p>
        </w:tc>
        <w:tc>
          <w:tcPr>
            <w:tcW w:w="825" w:type="dxa"/>
          </w:tcPr>
          <w:p>
            <w:pPr>
              <w:pStyle w:val="0"/>
              <w:jc w:val="center"/>
            </w:pPr>
            <w:r>
              <w:rPr>
                <w:sz w:val="20"/>
              </w:rPr>
              <w:t xml:space="preserve">2,10</w:t>
            </w:r>
          </w:p>
        </w:tc>
      </w:tr>
      <w:tr>
        <w:tblPrEx>
          <w:tblBorders>
            <w:insideH w:val="nil"/>
          </w:tblBorders>
        </w:tblPrEx>
        <w:tc>
          <w:tcPr>
            <w:tcW w:w="567" w:type="dxa"/>
            <w:tcBorders>
              <w:bottom w:val="nil"/>
            </w:tcBorders>
          </w:tcPr>
          <w:p>
            <w:pPr>
              <w:pStyle w:val="0"/>
            </w:pPr>
            <w:r>
              <w:rPr>
                <w:sz w:val="20"/>
              </w:rPr>
              <w:t xml:space="preserve">7.</w:t>
            </w:r>
          </w:p>
        </w:tc>
        <w:tc>
          <w:tcPr>
            <w:tcW w:w="2211" w:type="dxa"/>
            <w:tcBorders>
              <w:bottom w:val="nil"/>
            </w:tcBorders>
          </w:tcPr>
          <w:p>
            <w:pPr>
              <w:pStyle w:val="0"/>
            </w:pPr>
            <w:r>
              <w:rPr>
                <w:sz w:val="20"/>
              </w:rPr>
              <w:t xml:space="preserve">Среднее время подключения к газопроводу</w:t>
            </w:r>
          </w:p>
        </w:tc>
        <w:tc>
          <w:tcPr>
            <w:tcW w:w="1368" w:type="dxa"/>
            <w:tcBorders>
              <w:bottom w:val="nil"/>
            </w:tcBorders>
          </w:tcPr>
          <w:p>
            <w:pPr>
              <w:pStyle w:val="0"/>
              <w:jc w:val="center"/>
            </w:pPr>
            <w:r>
              <w:rPr>
                <w:sz w:val="20"/>
              </w:rPr>
              <w:t xml:space="preserve">рабочие дни</w:t>
            </w:r>
          </w:p>
        </w:tc>
        <w:tc>
          <w:tcPr>
            <w:tcW w:w="821" w:type="dxa"/>
            <w:tcBorders>
              <w:bottom w:val="nil"/>
            </w:tcBorders>
          </w:tcPr>
          <w:p>
            <w:pPr>
              <w:pStyle w:val="0"/>
              <w:jc w:val="center"/>
            </w:pPr>
            <w:r>
              <w:rPr>
                <w:sz w:val="20"/>
              </w:rPr>
              <w:t xml:space="preserve">63,14</w:t>
            </w:r>
          </w:p>
        </w:tc>
        <w:tc>
          <w:tcPr>
            <w:tcW w:w="821" w:type="dxa"/>
            <w:tcBorders>
              <w:bottom w:val="nil"/>
            </w:tcBorders>
          </w:tcPr>
          <w:p>
            <w:pPr>
              <w:pStyle w:val="0"/>
              <w:jc w:val="center"/>
            </w:pPr>
            <w:r>
              <w:rPr>
                <w:sz w:val="20"/>
              </w:rPr>
              <w:t xml:space="preserve">62,0</w:t>
            </w:r>
          </w:p>
        </w:tc>
        <w:tc>
          <w:tcPr>
            <w:tcW w:w="821" w:type="dxa"/>
            <w:tcBorders>
              <w:bottom w:val="nil"/>
            </w:tcBorders>
          </w:tcPr>
          <w:p>
            <w:pPr>
              <w:pStyle w:val="0"/>
              <w:jc w:val="center"/>
            </w:pPr>
            <w:r>
              <w:rPr>
                <w:sz w:val="20"/>
              </w:rPr>
              <w:t xml:space="preserve">60,0</w:t>
            </w:r>
          </w:p>
        </w:tc>
        <w:tc>
          <w:tcPr>
            <w:tcW w:w="821" w:type="dxa"/>
            <w:tcBorders>
              <w:bottom w:val="nil"/>
            </w:tcBorders>
          </w:tcPr>
          <w:p>
            <w:pPr>
              <w:pStyle w:val="0"/>
              <w:jc w:val="center"/>
            </w:pPr>
            <w:r>
              <w:rPr>
                <w:sz w:val="20"/>
              </w:rPr>
              <w:t xml:space="preserve">56,0</w:t>
            </w:r>
          </w:p>
        </w:tc>
        <w:tc>
          <w:tcPr>
            <w:tcW w:w="821" w:type="dxa"/>
            <w:tcBorders>
              <w:bottom w:val="nil"/>
            </w:tcBorders>
          </w:tcPr>
          <w:p>
            <w:pPr>
              <w:pStyle w:val="0"/>
              <w:jc w:val="center"/>
            </w:pPr>
            <w:r>
              <w:rPr>
                <w:sz w:val="20"/>
              </w:rPr>
              <w:t xml:space="preserve">52,0</w:t>
            </w:r>
          </w:p>
        </w:tc>
        <w:tc>
          <w:tcPr>
            <w:tcW w:w="825" w:type="dxa"/>
            <w:tcBorders>
              <w:bottom w:val="nil"/>
            </w:tcBorders>
          </w:tcPr>
          <w:p>
            <w:pPr>
              <w:pStyle w:val="0"/>
              <w:jc w:val="center"/>
            </w:pPr>
            <w:r>
              <w:rPr>
                <w:sz w:val="20"/>
              </w:rPr>
              <w:t xml:space="preserve">48,25</w:t>
            </w:r>
          </w:p>
        </w:tc>
      </w:tr>
      <w:tr>
        <w:tblPrEx>
          <w:tblBorders>
            <w:insideH w:val="nil"/>
          </w:tblBorders>
        </w:tblPrEx>
        <w:tc>
          <w:tcPr>
            <w:gridSpan w:val="9"/>
            <w:tcW w:w="9076" w:type="dxa"/>
            <w:tcBorders>
              <w:top w:val="nil"/>
            </w:tcBorders>
          </w:tcPr>
          <w:p>
            <w:pPr>
              <w:pStyle w:val="0"/>
              <w:jc w:val="both"/>
            </w:pPr>
            <w:r>
              <w:rPr>
                <w:sz w:val="20"/>
              </w:rPr>
              <w:t xml:space="preserve">(п. 7 в ред. </w:t>
            </w:r>
            <w:hyperlink w:history="0" r:id="rId13"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Распоряжения</w:t>
              </w:r>
            </w:hyperlink>
            <w:r>
              <w:rPr>
                <w:sz w:val="20"/>
              </w:rPr>
              <w:t xml:space="preserve"> Губернатора Сахалинской области от 18.12.2025 N 323-р)</w:t>
            </w:r>
          </w:p>
        </w:tc>
      </w:tr>
      <w:tr>
        <w:tc>
          <w:tcPr>
            <w:tcW w:w="567" w:type="dxa"/>
          </w:tcPr>
          <w:p>
            <w:pPr>
              <w:pStyle w:val="0"/>
            </w:pPr>
            <w:r>
              <w:rPr>
                <w:sz w:val="20"/>
              </w:rPr>
              <w:t xml:space="preserve">8.</w:t>
            </w:r>
          </w:p>
        </w:tc>
        <w:tc>
          <w:tcPr>
            <w:tcW w:w="2211" w:type="dxa"/>
          </w:tcPr>
          <w:p>
            <w:pPr>
              <w:pStyle w:val="0"/>
            </w:pPr>
            <w:r>
              <w:rPr>
                <w:sz w:val="20"/>
              </w:rPr>
              <w:t xml:space="preserve">Среднее количество процедур, необходимых для подключения к газопроводу</w:t>
            </w:r>
          </w:p>
        </w:tc>
        <w:tc>
          <w:tcPr>
            <w:tcW w:w="1368" w:type="dxa"/>
          </w:tcPr>
          <w:p>
            <w:pPr>
              <w:pStyle w:val="0"/>
              <w:jc w:val="center"/>
            </w:pPr>
            <w:r>
              <w:rPr>
                <w:sz w:val="20"/>
              </w:rPr>
              <w:t xml:space="preserve">шт.</w:t>
            </w:r>
          </w:p>
        </w:tc>
        <w:tc>
          <w:tcPr>
            <w:tcW w:w="821" w:type="dxa"/>
          </w:tcPr>
          <w:p>
            <w:pPr>
              <w:pStyle w:val="0"/>
              <w:jc w:val="center"/>
            </w:pPr>
            <w:r>
              <w:rPr>
                <w:sz w:val="20"/>
              </w:rPr>
              <w:t xml:space="preserve">5,78</w:t>
            </w:r>
          </w:p>
        </w:tc>
        <w:tc>
          <w:tcPr>
            <w:tcW w:w="821" w:type="dxa"/>
          </w:tcPr>
          <w:p>
            <w:pPr>
              <w:pStyle w:val="0"/>
              <w:jc w:val="center"/>
            </w:pPr>
            <w:r>
              <w:rPr>
                <w:sz w:val="20"/>
              </w:rPr>
              <w:t xml:space="preserve">5,5</w:t>
            </w:r>
          </w:p>
        </w:tc>
        <w:tc>
          <w:tcPr>
            <w:tcW w:w="821" w:type="dxa"/>
          </w:tcPr>
          <w:p>
            <w:pPr>
              <w:pStyle w:val="0"/>
              <w:jc w:val="center"/>
            </w:pPr>
            <w:r>
              <w:rPr>
                <w:sz w:val="20"/>
              </w:rPr>
              <w:t xml:space="preserve">5,2</w:t>
            </w:r>
          </w:p>
        </w:tc>
        <w:tc>
          <w:tcPr>
            <w:tcW w:w="821" w:type="dxa"/>
          </w:tcPr>
          <w:p>
            <w:pPr>
              <w:pStyle w:val="0"/>
              <w:jc w:val="center"/>
            </w:pPr>
            <w:r>
              <w:rPr>
                <w:sz w:val="20"/>
              </w:rPr>
              <w:t xml:space="preserve">5,0</w:t>
            </w:r>
          </w:p>
        </w:tc>
        <w:tc>
          <w:tcPr>
            <w:tcW w:w="821" w:type="dxa"/>
          </w:tcPr>
          <w:p>
            <w:pPr>
              <w:pStyle w:val="0"/>
              <w:jc w:val="center"/>
            </w:pPr>
            <w:r>
              <w:rPr>
                <w:sz w:val="20"/>
              </w:rPr>
              <w:t xml:space="preserve">4,5</w:t>
            </w:r>
          </w:p>
        </w:tc>
        <w:tc>
          <w:tcPr>
            <w:tcW w:w="825" w:type="dxa"/>
          </w:tcPr>
          <w:p>
            <w:pPr>
              <w:pStyle w:val="0"/>
              <w:jc w:val="center"/>
            </w:pPr>
            <w:r>
              <w:rPr>
                <w:sz w:val="20"/>
              </w:rPr>
              <w:t xml:space="preserve">4</w:t>
            </w:r>
          </w:p>
        </w:tc>
      </w:tr>
      <w:tr>
        <w:tc>
          <w:tcPr>
            <w:tcW w:w="567" w:type="dxa"/>
          </w:tcPr>
          <w:p>
            <w:pPr>
              <w:pStyle w:val="0"/>
            </w:pPr>
            <w:r>
              <w:rPr>
                <w:sz w:val="20"/>
              </w:rPr>
              <w:t xml:space="preserve">9.</w:t>
            </w:r>
          </w:p>
        </w:tc>
        <w:tc>
          <w:tcPr>
            <w:tcW w:w="2211" w:type="dxa"/>
          </w:tcPr>
          <w:p>
            <w:pPr>
              <w:pStyle w:val="0"/>
            </w:pPr>
            <w:r>
              <w:rPr>
                <w:sz w:val="20"/>
              </w:rPr>
              <w:t xml:space="preserve">Среднее время подключения к сетям водоснабжения</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47,80</w:t>
            </w:r>
          </w:p>
        </w:tc>
        <w:tc>
          <w:tcPr>
            <w:tcW w:w="821" w:type="dxa"/>
          </w:tcPr>
          <w:p>
            <w:pPr>
              <w:pStyle w:val="0"/>
              <w:jc w:val="center"/>
            </w:pPr>
            <w:r>
              <w:rPr>
                <w:sz w:val="20"/>
              </w:rPr>
              <w:t xml:space="preserve">47,80</w:t>
            </w:r>
          </w:p>
        </w:tc>
        <w:tc>
          <w:tcPr>
            <w:tcW w:w="821" w:type="dxa"/>
          </w:tcPr>
          <w:p>
            <w:pPr>
              <w:pStyle w:val="0"/>
              <w:jc w:val="center"/>
            </w:pPr>
            <w:r>
              <w:rPr>
                <w:sz w:val="20"/>
              </w:rPr>
              <w:t xml:space="preserve">47,20</w:t>
            </w:r>
          </w:p>
        </w:tc>
        <w:tc>
          <w:tcPr>
            <w:tcW w:w="821" w:type="dxa"/>
          </w:tcPr>
          <w:p>
            <w:pPr>
              <w:pStyle w:val="0"/>
              <w:jc w:val="center"/>
            </w:pPr>
            <w:r>
              <w:rPr>
                <w:sz w:val="20"/>
              </w:rPr>
              <w:t xml:space="preserve">46,90</w:t>
            </w:r>
          </w:p>
        </w:tc>
        <w:tc>
          <w:tcPr>
            <w:tcW w:w="821" w:type="dxa"/>
          </w:tcPr>
          <w:p>
            <w:pPr>
              <w:pStyle w:val="0"/>
              <w:jc w:val="center"/>
            </w:pPr>
            <w:r>
              <w:rPr>
                <w:sz w:val="20"/>
              </w:rPr>
              <w:t xml:space="preserve">44,10</w:t>
            </w:r>
          </w:p>
        </w:tc>
        <w:tc>
          <w:tcPr>
            <w:tcW w:w="825" w:type="dxa"/>
          </w:tcPr>
          <w:p>
            <w:pPr>
              <w:pStyle w:val="0"/>
              <w:jc w:val="center"/>
            </w:pPr>
            <w:r>
              <w:rPr>
                <w:sz w:val="20"/>
              </w:rPr>
              <w:t xml:space="preserve">42,61</w:t>
            </w:r>
          </w:p>
        </w:tc>
      </w:tr>
      <w:tr>
        <w:tc>
          <w:tcPr>
            <w:tcW w:w="567" w:type="dxa"/>
          </w:tcPr>
          <w:p>
            <w:pPr>
              <w:pStyle w:val="0"/>
            </w:pPr>
            <w:r>
              <w:rPr>
                <w:sz w:val="20"/>
              </w:rPr>
              <w:t xml:space="preserve">10.</w:t>
            </w:r>
          </w:p>
        </w:tc>
        <w:tc>
          <w:tcPr>
            <w:tcW w:w="2211" w:type="dxa"/>
          </w:tcPr>
          <w:p>
            <w:pPr>
              <w:pStyle w:val="0"/>
            </w:pPr>
            <w:r>
              <w:rPr>
                <w:sz w:val="20"/>
              </w:rPr>
              <w:t xml:space="preserve">Среднее количество процедур, необходимых для подключения к сетям водоснабжения</w:t>
            </w:r>
          </w:p>
        </w:tc>
        <w:tc>
          <w:tcPr>
            <w:tcW w:w="1368" w:type="dxa"/>
          </w:tcPr>
          <w:p>
            <w:pPr>
              <w:pStyle w:val="0"/>
              <w:jc w:val="center"/>
            </w:pPr>
            <w:r>
              <w:rPr>
                <w:sz w:val="20"/>
              </w:rPr>
              <w:t xml:space="preserve">шт.</w:t>
            </w:r>
          </w:p>
        </w:tc>
        <w:tc>
          <w:tcPr>
            <w:tcW w:w="821" w:type="dxa"/>
          </w:tcPr>
          <w:p>
            <w:pPr>
              <w:pStyle w:val="0"/>
              <w:jc w:val="center"/>
            </w:pPr>
            <w:r>
              <w:rPr>
                <w:sz w:val="20"/>
              </w:rPr>
              <w:t xml:space="preserve">4,02</w:t>
            </w:r>
          </w:p>
        </w:tc>
        <w:tc>
          <w:tcPr>
            <w:tcW w:w="821" w:type="dxa"/>
          </w:tcPr>
          <w:p>
            <w:pPr>
              <w:pStyle w:val="0"/>
              <w:jc w:val="center"/>
            </w:pPr>
            <w:r>
              <w:rPr>
                <w:sz w:val="20"/>
              </w:rPr>
              <w:t xml:space="preserve">4,02</w:t>
            </w:r>
          </w:p>
        </w:tc>
        <w:tc>
          <w:tcPr>
            <w:tcW w:w="821" w:type="dxa"/>
          </w:tcPr>
          <w:p>
            <w:pPr>
              <w:pStyle w:val="0"/>
              <w:jc w:val="center"/>
            </w:pPr>
            <w:r>
              <w:rPr>
                <w:sz w:val="20"/>
              </w:rPr>
              <w:t xml:space="preserve">4,01</w:t>
            </w:r>
          </w:p>
        </w:tc>
        <w:tc>
          <w:tcPr>
            <w:tcW w:w="821" w:type="dxa"/>
          </w:tcPr>
          <w:p>
            <w:pPr>
              <w:pStyle w:val="0"/>
              <w:jc w:val="center"/>
            </w:pPr>
            <w:r>
              <w:rPr>
                <w:sz w:val="20"/>
              </w:rPr>
              <w:t xml:space="preserve">4,00</w:t>
            </w:r>
          </w:p>
        </w:tc>
        <w:tc>
          <w:tcPr>
            <w:tcW w:w="821" w:type="dxa"/>
          </w:tcPr>
          <w:p>
            <w:pPr>
              <w:pStyle w:val="0"/>
              <w:jc w:val="center"/>
            </w:pPr>
            <w:r>
              <w:rPr>
                <w:sz w:val="20"/>
              </w:rPr>
              <w:t xml:space="preserve">3,96</w:t>
            </w:r>
          </w:p>
        </w:tc>
        <w:tc>
          <w:tcPr>
            <w:tcW w:w="825" w:type="dxa"/>
          </w:tcPr>
          <w:p>
            <w:pPr>
              <w:pStyle w:val="0"/>
              <w:jc w:val="center"/>
            </w:pPr>
            <w:r>
              <w:rPr>
                <w:sz w:val="20"/>
              </w:rPr>
              <w:t xml:space="preserve">3,80</w:t>
            </w:r>
          </w:p>
        </w:tc>
      </w:tr>
      <w:tr>
        <w:tc>
          <w:tcPr>
            <w:tcW w:w="567" w:type="dxa"/>
          </w:tcPr>
          <w:p>
            <w:pPr>
              <w:pStyle w:val="0"/>
            </w:pPr>
            <w:r>
              <w:rPr>
                <w:sz w:val="20"/>
              </w:rPr>
              <w:t xml:space="preserve">11.</w:t>
            </w:r>
          </w:p>
        </w:tc>
        <w:tc>
          <w:tcPr>
            <w:tcW w:w="2211" w:type="dxa"/>
          </w:tcPr>
          <w:p>
            <w:pPr>
              <w:pStyle w:val="0"/>
            </w:pPr>
            <w:r>
              <w:rPr>
                <w:sz w:val="20"/>
              </w:rPr>
              <w:t xml:space="preserve">Среднее время подключения к сетям водоотведения</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46,00</w:t>
            </w:r>
          </w:p>
        </w:tc>
        <w:tc>
          <w:tcPr>
            <w:tcW w:w="821" w:type="dxa"/>
          </w:tcPr>
          <w:p>
            <w:pPr>
              <w:pStyle w:val="0"/>
              <w:jc w:val="center"/>
            </w:pPr>
            <w:r>
              <w:rPr>
                <w:sz w:val="20"/>
              </w:rPr>
              <w:t xml:space="preserve">46,00</w:t>
            </w:r>
          </w:p>
        </w:tc>
        <w:tc>
          <w:tcPr>
            <w:tcW w:w="821" w:type="dxa"/>
          </w:tcPr>
          <w:p>
            <w:pPr>
              <w:pStyle w:val="0"/>
              <w:jc w:val="center"/>
            </w:pPr>
            <w:r>
              <w:rPr>
                <w:sz w:val="20"/>
              </w:rPr>
              <w:t xml:space="preserve">45,80</w:t>
            </w:r>
          </w:p>
        </w:tc>
        <w:tc>
          <w:tcPr>
            <w:tcW w:w="821" w:type="dxa"/>
          </w:tcPr>
          <w:p>
            <w:pPr>
              <w:pStyle w:val="0"/>
              <w:jc w:val="center"/>
            </w:pPr>
            <w:r>
              <w:rPr>
                <w:sz w:val="20"/>
              </w:rPr>
              <w:t xml:space="preserve">45,40</w:t>
            </w:r>
          </w:p>
        </w:tc>
        <w:tc>
          <w:tcPr>
            <w:tcW w:w="821" w:type="dxa"/>
          </w:tcPr>
          <w:p>
            <w:pPr>
              <w:pStyle w:val="0"/>
              <w:jc w:val="center"/>
            </w:pPr>
            <w:r>
              <w:rPr>
                <w:sz w:val="20"/>
              </w:rPr>
              <w:t xml:space="preserve">44,90</w:t>
            </w:r>
          </w:p>
        </w:tc>
        <w:tc>
          <w:tcPr>
            <w:tcW w:w="825" w:type="dxa"/>
          </w:tcPr>
          <w:p>
            <w:pPr>
              <w:pStyle w:val="0"/>
              <w:jc w:val="center"/>
            </w:pPr>
            <w:r>
              <w:rPr>
                <w:sz w:val="20"/>
              </w:rPr>
              <w:t xml:space="preserve">43,41</w:t>
            </w:r>
          </w:p>
        </w:tc>
      </w:tr>
      <w:tr>
        <w:tc>
          <w:tcPr>
            <w:tcW w:w="567" w:type="dxa"/>
          </w:tcPr>
          <w:p>
            <w:pPr>
              <w:pStyle w:val="0"/>
            </w:pPr>
            <w:r>
              <w:rPr>
                <w:sz w:val="20"/>
              </w:rPr>
              <w:t xml:space="preserve">12.</w:t>
            </w:r>
          </w:p>
        </w:tc>
        <w:tc>
          <w:tcPr>
            <w:tcW w:w="2211" w:type="dxa"/>
          </w:tcPr>
          <w:p>
            <w:pPr>
              <w:pStyle w:val="0"/>
            </w:pPr>
            <w:r>
              <w:rPr>
                <w:sz w:val="20"/>
              </w:rPr>
              <w:t xml:space="preserve">Среднее количество процедур, необходимых для подключения к сетям водоотведения</w:t>
            </w:r>
          </w:p>
        </w:tc>
        <w:tc>
          <w:tcPr>
            <w:tcW w:w="1368" w:type="dxa"/>
          </w:tcPr>
          <w:p>
            <w:pPr>
              <w:pStyle w:val="0"/>
              <w:jc w:val="center"/>
            </w:pPr>
            <w:r>
              <w:rPr>
                <w:sz w:val="20"/>
              </w:rPr>
              <w:t xml:space="preserve">шт.</w:t>
            </w:r>
          </w:p>
        </w:tc>
        <w:tc>
          <w:tcPr>
            <w:tcW w:w="821" w:type="dxa"/>
          </w:tcPr>
          <w:p>
            <w:pPr>
              <w:pStyle w:val="0"/>
              <w:jc w:val="center"/>
            </w:pPr>
            <w:r>
              <w:rPr>
                <w:sz w:val="20"/>
              </w:rPr>
              <w:t xml:space="preserve">3,90</w:t>
            </w:r>
          </w:p>
        </w:tc>
        <w:tc>
          <w:tcPr>
            <w:tcW w:w="821" w:type="dxa"/>
          </w:tcPr>
          <w:p>
            <w:pPr>
              <w:pStyle w:val="0"/>
              <w:jc w:val="center"/>
            </w:pPr>
            <w:r>
              <w:rPr>
                <w:sz w:val="20"/>
              </w:rPr>
              <w:t xml:space="preserve">3,90</w:t>
            </w:r>
          </w:p>
        </w:tc>
        <w:tc>
          <w:tcPr>
            <w:tcW w:w="821" w:type="dxa"/>
          </w:tcPr>
          <w:p>
            <w:pPr>
              <w:pStyle w:val="0"/>
              <w:jc w:val="center"/>
            </w:pPr>
            <w:r>
              <w:rPr>
                <w:sz w:val="20"/>
              </w:rPr>
              <w:t xml:space="preserve">3,88</w:t>
            </w:r>
          </w:p>
        </w:tc>
        <w:tc>
          <w:tcPr>
            <w:tcW w:w="821" w:type="dxa"/>
          </w:tcPr>
          <w:p>
            <w:pPr>
              <w:pStyle w:val="0"/>
              <w:jc w:val="center"/>
            </w:pPr>
            <w:r>
              <w:rPr>
                <w:sz w:val="20"/>
              </w:rPr>
              <w:t xml:space="preserve">3,86</w:t>
            </w:r>
          </w:p>
        </w:tc>
        <w:tc>
          <w:tcPr>
            <w:tcW w:w="821" w:type="dxa"/>
          </w:tcPr>
          <w:p>
            <w:pPr>
              <w:pStyle w:val="0"/>
              <w:jc w:val="center"/>
            </w:pPr>
            <w:r>
              <w:rPr>
                <w:sz w:val="20"/>
              </w:rPr>
              <w:t xml:space="preserve">3,84</w:t>
            </w:r>
          </w:p>
        </w:tc>
        <w:tc>
          <w:tcPr>
            <w:tcW w:w="825" w:type="dxa"/>
          </w:tcPr>
          <w:p>
            <w:pPr>
              <w:pStyle w:val="0"/>
              <w:jc w:val="center"/>
            </w:pPr>
            <w:r>
              <w:rPr>
                <w:sz w:val="20"/>
              </w:rPr>
              <w:t xml:space="preserve">3,74</w:t>
            </w:r>
          </w:p>
        </w:tc>
      </w:tr>
      <w:tr>
        <w:tc>
          <w:tcPr>
            <w:tcW w:w="567" w:type="dxa"/>
          </w:tcPr>
          <w:p>
            <w:pPr>
              <w:pStyle w:val="0"/>
            </w:pPr>
            <w:r>
              <w:rPr>
                <w:sz w:val="20"/>
              </w:rPr>
              <w:t xml:space="preserve">13.</w:t>
            </w:r>
          </w:p>
        </w:tc>
        <w:tc>
          <w:tcPr>
            <w:tcW w:w="2211" w:type="dxa"/>
          </w:tcPr>
          <w:p>
            <w:pPr>
              <w:pStyle w:val="0"/>
            </w:pPr>
            <w:r>
              <w:rPr>
                <w:sz w:val="20"/>
              </w:rPr>
              <w:t xml:space="preserve">Среднее время получения разрешения на ввод объекта в эксплуатацию</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17,83</w:t>
            </w:r>
          </w:p>
        </w:tc>
        <w:tc>
          <w:tcPr>
            <w:tcW w:w="821" w:type="dxa"/>
          </w:tcPr>
          <w:p>
            <w:pPr>
              <w:pStyle w:val="0"/>
              <w:jc w:val="center"/>
            </w:pPr>
            <w:r>
              <w:rPr>
                <w:sz w:val="20"/>
              </w:rPr>
              <w:t xml:space="preserve">17,83</w:t>
            </w:r>
          </w:p>
        </w:tc>
        <w:tc>
          <w:tcPr>
            <w:tcW w:w="821" w:type="dxa"/>
          </w:tcPr>
          <w:p>
            <w:pPr>
              <w:pStyle w:val="0"/>
              <w:jc w:val="center"/>
            </w:pPr>
            <w:r>
              <w:rPr>
                <w:sz w:val="20"/>
              </w:rPr>
              <w:t xml:space="preserve">17,60</w:t>
            </w:r>
          </w:p>
        </w:tc>
        <w:tc>
          <w:tcPr>
            <w:tcW w:w="821" w:type="dxa"/>
          </w:tcPr>
          <w:p>
            <w:pPr>
              <w:pStyle w:val="0"/>
              <w:jc w:val="center"/>
            </w:pPr>
            <w:r>
              <w:rPr>
                <w:sz w:val="20"/>
              </w:rPr>
              <w:t xml:space="preserve">17,47</w:t>
            </w:r>
          </w:p>
        </w:tc>
        <w:tc>
          <w:tcPr>
            <w:tcW w:w="821" w:type="dxa"/>
          </w:tcPr>
          <w:p>
            <w:pPr>
              <w:pStyle w:val="0"/>
              <w:jc w:val="center"/>
            </w:pPr>
            <w:r>
              <w:rPr>
                <w:sz w:val="20"/>
              </w:rPr>
              <w:t xml:space="preserve">17,39</w:t>
            </w:r>
          </w:p>
        </w:tc>
        <w:tc>
          <w:tcPr>
            <w:tcW w:w="825" w:type="dxa"/>
          </w:tcPr>
          <w:p>
            <w:pPr>
              <w:pStyle w:val="0"/>
              <w:jc w:val="center"/>
            </w:pPr>
            <w:r>
              <w:rPr>
                <w:sz w:val="20"/>
              </w:rPr>
              <w:t xml:space="preserve">17,10</w:t>
            </w:r>
          </w:p>
        </w:tc>
      </w:tr>
      <w:tr>
        <w:tc>
          <w:tcPr>
            <w:tcW w:w="567" w:type="dxa"/>
          </w:tcPr>
          <w:p>
            <w:pPr>
              <w:pStyle w:val="0"/>
            </w:pPr>
            <w:r>
              <w:rPr>
                <w:sz w:val="20"/>
              </w:rPr>
              <w:t xml:space="preserve">14.</w:t>
            </w:r>
          </w:p>
        </w:tc>
        <w:tc>
          <w:tcPr>
            <w:tcW w:w="2211" w:type="dxa"/>
          </w:tcPr>
          <w:p>
            <w:pPr>
              <w:pStyle w:val="0"/>
            </w:pPr>
            <w:r>
              <w:rPr>
                <w:sz w:val="20"/>
              </w:rPr>
              <w:t xml:space="preserve">Среднее количество процедур для получения разрешения на ввод объекта в эксплуатацию</w:t>
            </w:r>
          </w:p>
        </w:tc>
        <w:tc>
          <w:tcPr>
            <w:tcW w:w="1368" w:type="dxa"/>
          </w:tcPr>
          <w:p>
            <w:pPr>
              <w:pStyle w:val="0"/>
              <w:jc w:val="center"/>
            </w:pPr>
            <w:r>
              <w:rPr>
                <w:sz w:val="20"/>
              </w:rPr>
              <w:t xml:space="preserve">шт.</w:t>
            </w:r>
          </w:p>
        </w:tc>
        <w:tc>
          <w:tcPr>
            <w:tcW w:w="821" w:type="dxa"/>
          </w:tcPr>
          <w:p>
            <w:pPr>
              <w:pStyle w:val="0"/>
              <w:jc w:val="center"/>
            </w:pPr>
            <w:r>
              <w:rPr>
                <w:sz w:val="20"/>
              </w:rPr>
              <w:t xml:space="preserve">4,14</w:t>
            </w:r>
          </w:p>
        </w:tc>
        <w:tc>
          <w:tcPr>
            <w:tcW w:w="821" w:type="dxa"/>
          </w:tcPr>
          <w:p>
            <w:pPr>
              <w:pStyle w:val="0"/>
              <w:jc w:val="center"/>
            </w:pPr>
            <w:r>
              <w:rPr>
                <w:sz w:val="20"/>
              </w:rPr>
              <w:t xml:space="preserve">4,14</w:t>
            </w:r>
          </w:p>
        </w:tc>
        <w:tc>
          <w:tcPr>
            <w:tcW w:w="821" w:type="dxa"/>
          </w:tcPr>
          <w:p>
            <w:pPr>
              <w:pStyle w:val="0"/>
              <w:jc w:val="center"/>
            </w:pPr>
            <w:r>
              <w:rPr>
                <w:sz w:val="20"/>
              </w:rPr>
              <w:t xml:space="preserve">4,10</w:t>
            </w:r>
          </w:p>
        </w:tc>
        <w:tc>
          <w:tcPr>
            <w:tcW w:w="821" w:type="dxa"/>
          </w:tcPr>
          <w:p>
            <w:pPr>
              <w:pStyle w:val="0"/>
              <w:jc w:val="center"/>
            </w:pPr>
            <w:r>
              <w:rPr>
                <w:sz w:val="20"/>
              </w:rPr>
              <w:t xml:space="preserve">3,95</w:t>
            </w:r>
          </w:p>
        </w:tc>
        <w:tc>
          <w:tcPr>
            <w:tcW w:w="821" w:type="dxa"/>
          </w:tcPr>
          <w:p>
            <w:pPr>
              <w:pStyle w:val="0"/>
              <w:jc w:val="center"/>
            </w:pPr>
            <w:r>
              <w:rPr>
                <w:sz w:val="20"/>
              </w:rPr>
              <w:t xml:space="preserve">3,80</w:t>
            </w:r>
          </w:p>
        </w:tc>
        <w:tc>
          <w:tcPr>
            <w:tcW w:w="825" w:type="dxa"/>
          </w:tcPr>
          <w:p>
            <w:pPr>
              <w:pStyle w:val="0"/>
              <w:jc w:val="center"/>
            </w:pPr>
            <w:r>
              <w:rPr>
                <w:sz w:val="20"/>
              </w:rPr>
              <w:t xml:space="preserve">3,60</w:t>
            </w:r>
          </w:p>
        </w:tc>
      </w:tr>
      <w:tr>
        <w:tc>
          <w:tcPr>
            <w:tcW w:w="567" w:type="dxa"/>
          </w:tcPr>
          <w:p>
            <w:pPr>
              <w:pStyle w:val="0"/>
            </w:pPr>
            <w:r>
              <w:rPr>
                <w:sz w:val="20"/>
              </w:rPr>
              <w:t xml:space="preserve">15.</w:t>
            </w:r>
          </w:p>
        </w:tc>
        <w:tc>
          <w:tcPr>
            <w:tcW w:w="2211" w:type="dxa"/>
          </w:tcPr>
          <w:p>
            <w:pPr>
              <w:pStyle w:val="0"/>
            </w:pPr>
            <w:r>
              <w:rPr>
                <w:sz w:val="20"/>
              </w:rPr>
              <w:t xml:space="preserve">Среднее время получения в аренду земельных участков (без проведения торгов)</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17,40</w:t>
            </w:r>
          </w:p>
        </w:tc>
        <w:tc>
          <w:tcPr>
            <w:tcW w:w="821" w:type="dxa"/>
          </w:tcPr>
          <w:p>
            <w:pPr>
              <w:pStyle w:val="0"/>
              <w:jc w:val="center"/>
            </w:pPr>
            <w:r>
              <w:rPr>
                <w:sz w:val="20"/>
              </w:rPr>
              <w:t xml:space="preserve">17,00</w:t>
            </w:r>
          </w:p>
        </w:tc>
        <w:tc>
          <w:tcPr>
            <w:tcW w:w="821" w:type="dxa"/>
          </w:tcPr>
          <w:p>
            <w:pPr>
              <w:pStyle w:val="0"/>
              <w:jc w:val="center"/>
            </w:pPr>
            <w:r>
              <w:rPr>
                <w:sz w:val="20"/>
              </w:rPr>
              <w:t xml:space="preserve">16,50</w:t>
            </w:r>
          </w:p>
        </w:tc>
        <w:tc>
          <w:tcPr>
            <w:tcW w:w="821" w:type="dxa"/>
          </w:tcPr>
          <w:p>
            <w:pPr>
              <w:pStyle w:val="0"/>
              <w:jc w:val="center"/>
            </w:pPr>
            <w:r>
              <w:rPr>
                <w:sz w:val="20"/>
              </w:rPr>
              <w:t xml:space="preserve">16,00</w:t>
            </w:r>
          </w:p>
        </w:tc>
        <w:tc>
          <w:tcPr>
            <w:tcW w:w="821" w:type="dxa"/>
          </w:tcPr>
          <w:p>
            <w:pPr>
              <w:pStyle w:val="0"/>
              <w:jc w:val="center"/>
            </w:pPr>
            <w:r>
              <w:rPr>
                <w:sz w:val="20"/>
              </w:rPr>
              <w:t xml:space="preserve">15,50</w:t>
            </w:r>
          </w:p>
        </w:tc>
        <w:tc>
          <w:tcPr>
            <w:tcW w:w="825" w:type="dxa"/>
          </w:tcPr>
          <w:p>
            <w:pPr>
              <w:pStyle w:val="0"/>
              <w:jc w:val="center"/>
            </w:pPr>
            <w:r>
              <w:rPr>
                <w:sz w:val="20"/>
              </w:rPr>
              <w:t xml:space="preserve">14,67</w:t>
            </w:r>
          </w:p>
        </w:tc>
      </w:tr>
      <w:tr>
        <w:tc>
          <w:tcPr>
            <w:tcW w:w="567" w:type="dxa"/>
          </w:tcPr>
          <w:p>
            <w:pPr>
              <w:pStyle w:val="0"/>
            </w:pPr>
            <w:r>
              <w:rPr>
                <w:sz w:val="20"/>
              </w:rPr>
              <w:t xml:space="preserve">16.</w:t>
            </w:r>
          </w:p>
        </w:tc>
        <w:tc>
          <w:tcPr>
            <w:tcW w:w="2211" w:type="dxa"/>
          </w:tcPr>
          <w:p>
            <w:pPr>
              <w:pStyle w:val="0"/>
            </w:pPr>
            <w:r>
              <w:rPr>
                <w:sz w:val="20"/>
              </w:rPr>
              <w:t xml:space="preserve">Среднее количество процедур для получения в аренду земельных участков (без проведения торгов)</w:t>
            </w:r>
          </w:p>
        </w:tc>
        <w:tc>
          <w:tcPr>
            <w:tcW w:w="1368" w:type="dxa"/>
          </w:tcPr>
          <w:p>
            <w:pPr>
              <w:pStyle w:val="0"/>
              <w:jc w:val="center"/>
            </w:pPr>
            <w:r>
              <w:rPr>
                <w:sz w:val="20"/>
              </w:rPr>
              <w:t xml:space="preserve">шт.</w:t>
            </w:r>
          </w:p>
        </w:tc>
        <w:tc>
          <w:tcPr>
            <w:tcW w:w="821" w:type="dxa"/>
          </w:tcPr>
          <w:p>
            <w:pPr>
              <w:pStyle w:val="0"/>
              <w:jc w:val="center"/>
            </w:pPr>
            <w:r>
              <w:rPr>
                <w:sz w:val="20"/>
              </w:rPr>
              <w:t xml:space="preserve">2,20</w:t>
            </w:r>
          </w:p>
        </w:tc>
        <w:tc>
          <w:tcPr>
            <w:tcW w:w="821" w:type="dxa"/>
          </w:tcPr>
          <w:p>
            <w:pPr>
              <w:pStyle w:val="0"/>
              <w:jc w:val="center"/>
            </w:pPr>
            <w:r>
              <w:rPr>
                <w:sz w:val="20"/>
              </w:rPr>
              <w:t xml:space="preserve">2,00</w:t>
            </w:r>
          </w:p>
        </w:tc>
        <w:tc>
          <w:tcPr>
            <w:tcW w:w="821" w:type="dxa"/>
          </w:tcPr>
          <w:p>
            <w:pPr>
              <w:pStyle w:val="0"/>
              <w:jc w:val="center"/>
            </w:pPr>
            <w:r>
              <w:rPr>
                <w:sz w:val="20"/>
              </w:rPr>
              <w:t xml:space="preserve">2,00</w:t>
            </w:r>
          </w:p>
        </w:tc>
        <w:tc>
          <w:tcPr>
            <w:tcW w:w="821" w:type="dxa"/>
          </w:tcPr>
          <w:p>
            <w:pPr>
              <w:pStyle w:val="0"/>
              <w:jc w:val="center"/>
            </w:pPr>
            <w:r>
              <w:rPr>
                <w:sz w:val="20"/>
              </w:rPr>
              <w:t xml:space="preserve">1,90</w:t>
            </w:r>
          </w:p>
        </w:tc>
        <w:tc>
          <w:tcPr>
            <w:tcW w:w="821" w:type="dxa"/>
          </w:tcPr>
          <w:p>
            <w:pPr>
              <w:pStyle w:val="0"/>
              <w:jc w:val="center"/>
            </w:pPr>
            <w:r>
              <w:rPr>
                <w:sz w:val="20"/>
              </w:rPr>
              <w:t xml:space="preserve">1,90</w:t>
            </w:r>
          </w:p>
        </w:tc>
        <w:tc>
          <w:tcPr>
            <w:tcW w:w="825" w:type="dxa"/>
          </w:tcPr>
          <w:p>
            <w:pPr>
              <w:pStyle w:val="0"/>
              <w:jc w:val="center"/>
            </w:pPr>
            <w:r>
              <w:rPr>
                <w:sz w:val="20"/>
              </w:rPr>
              <w:t xml:space="preserve">1,80</w:t>
            </w:r>
          </w:p>
        </w:tc>
      </w:tr>
      <w:tr>
        <w:tc>
          <w:tcPr>
            <w:tcW w:w="567" w:type="dxa"/>
          </w:tcPr>
          <w:p>
            <w:pPr>
              <w:pStyle w:val="0"/>
            </w:pPr>
            <w:r>
              <w:rPr>
                <w:sz w:val="20"/>
              </w:rPr>
              <w:t xml:space="preserve">17.</w:t>
            </w:r>
          </w:p>
        </w:tc>
        <w:tc>
          <w:tcPr>
            <w:tcW w:w="2211" w:type="dxa"/>
          </w:tcPr>
          <w:p>
            <w:pPr>
              <w:pStyle w:val="0"/>
            </w:pPr>
            <w:r>
              <w:rPr>
                <w:sz w:val="20"/>
              </w:rPr>
              <w:t xml:space="preserve">Среднее время получения в аренду земельных участков (с проведением торгов)</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62,60</w:t>
            </w:r>
          </w:p>
        </w:tc>
        <w:tc>
          <w:tcPr>
            <w:tcW w:w="821" w:type="dxa"/>
          </w:tcPr>
          <w:p>
            <w:pPr>
              <w:pStyle w:val="0"/>
              <w:jc w:val="center"/>
            </w:pPr>
            <w:r>
              <w:rPr>
                <w:sz w:val="20"/>
              </w:rPr>
              <w:t xml:space="preserve">25,00</w:t>
            </w:r>
          </w:p>
        </w:tc>
        <w:tc>
          <w:tcPr>
            <w:tcW w:w="821" w:type="dxa"/>
          </w:tcPr>
          <w:p>
            <w:pPr>
              <w:pStyle w:val="0"/>
              <w:jc w:val="center"/>
            </w:pPr>
            <w:r>
              <w:rPr>
                <w:sz w:val="20"/>
              </w:rPr>
              <w:t xml:space="preserve">25,00</w:t>
            </w:r>
          </w:p>
        </w:tc>
        <w:tc>
          <w:tcPr>
            <w:tcW w:w="821" w:type="dxa"/>
          </w:tcPr>
          <w:p>
            <w:pPr>
              <w:pStyle w:val="0"/>
              <w:jc w:val="center"/>
            </w:pPr>
            <w:r>
              <w:rPr>
                <w:sz w:val="20"/>
              </w:rPr>
              <w:t xml:space="preserve">24,00</w:t>
            </w:r>
          </w:p>
        </w:tc>
        <w:tc>
          <w:tcPr>
            <w:tcW w:w="821" w:type="dxa"/>
          </w:tcPr>
          <w:p>
            <w:pPr>
              <w:pStyle w:val="0"/>
              <w:jc w:val="center"/>
            </w:pPr>
            <w:r>
              <w:rPr>
                <w:sz w:val="20"/>
              </w:rPr>
              <w:t xml:space="preserve">24,00</w:t>
            </w:r>
          </w:p>
        </w:tc>
        <w:tc>
          <w:tcPr>
            <w:tcW w:w="825" w:type="dxa"/>
          </w:tcPr>
          <w:p>
            <w:pPr>
              <w:pStyle w:val="0"/>
              <w:jc w:val="center"/>
            </w:pPr>
            <w:r>
              <w:rPr>
                <w:sz w:val="20"/>
              </w:rPr>
              <w:t xml:space="preserve">23,00</w:t>
            </w:r>
          </w:p>
        </w:tc>
      </w:tr>
      <w:tr>
        <w:tc>
          <w:tcPr>
            <w:tcW w:w="567" w:type="dxa"/>
          </w:tcPr>
          <w:p>
            <w:pPr>
              <w:pStyle w:val="0"/>
            </w:pPr>
            <w:r>
              <w:rPr>
                <w:sz w:val="20"/>
              </w:rPr>
              <w:t xml:space="preserve">18.</w:t>
            </w:r>
          </w:p>
        </w:tc>
        <w:tc>
          <w:tcPr>
            <w:tcW w:w="2211" w:type="dxa"/>
          </w:tcPr>
          <w:p>
            <w:pPr>
              <w:pStyle w:val="0"/>
            </w:pPr>
            <w:r>
              <w:rPr>
                <w:sz w:val="20"/>
              </w:rPr>
              <w:t xml:space="preserve">Среднее количество процедур для получения в аренду земельных участков (с проведением торгов)</w:t>
            </w:r>
          </w:p>
        </w:tc>
        <w:tc>
          <w:tcPr>
            <w:tcW w:w="1368" w:type="dxa"/>
          </w:tcPr>
          <w:p>
            <w:pPr>
              <w:pStyle w:val="0"/>
              <w:jc w:val="center"/>
            </w:pPr>
            <w:r>
              <w:rPr>
                <w:sz w:val="20"/>
              </w:rPr>
              <w:t xml:space="preserve">шт.</w:t>
            </w:r>
          </w:p>
        </w:tc>
        <w:tc>
          <w:tcPr>
            <w:tcW w:w="821" w:type="dxa"/>
          </w:tcPr>
          <w:p>
            <w:pPr>
              <w:pStyle w:val="0"/>
              <w:jc w:val="center"/>
            </w:pPr>
            <w:r>
              <w:rPr>
                <w:sz w:val="20"/>
              </w:rPr>
              <w:t xml:space="preserve">4,38</w:t>
            </w:r>
          </w:p>
        </w:tc>
        <w:tc>
          <w:tcPr>
            <w:tcW w:w="821" w:type="dxa"/>
          </w:tcPr>
          <w:p>
            <w:pPr>
              <w:pStyle w:val="0"/>
              <w:jc w:val="center"/>
            </w:pPr>
            <w:r>
              <w:rPr>
                <w:sz w:val="20"/>
              </w:rPr>
              <w:t xml:space="preserve">2,00</w:t>
            </w:r>
          </w:p>
        </w:tc>
        <w:tc>
          <w:tcPr>
            <w:tcW w:w="821" w:type="dxa"/>
          </w:tcPr>
          <w:p>
            <w:pPr>
              <w:pStyle w:val="0"/>
              <w:jc w:val="center"/>
            </w:pPr>
            <w:r>
              <w:rPr>
                <w:sz w:val="20"/>
              </w:rPr>
              <w:t xml:space="preserve">2,00</w:t>
            </w:r>
          </w:p>
        </w:tc>
        <w:tc>
          <w:tcPr>
            <w:tcW w:w="821" w:type="dxa"/>
          </w:tcPr>
          <w:p>
            <w:pPr>
              <w:pStyle w:val="0"/>
              <w:jc w:val="center"/>
            </w:pPr>
            <w:r>
              <w:rPr>
                <w:sz w:val="20"/>
              </w:rPr>
              <w:t xml:space="preserve">2,00</w:t>
            </w:r>
          </w:p>
        </w:tc>
        <w:tc>
          <w:tcPr>
            <w:tcW w:w="821" w:type="dxa"/>
          </w:tcPr>
          <w:p>
            <w:pPr>
              <w:pStyle w:val="0"/>
              <w:jc w:val="center"/>
            </w:pPr>
            <w:r>
              <w:rPr>
                <w:sz w:val="20"/>
              </w:rPr>
              <w:t xml:space="preserve">2,00</w:t>
            </w:r>
          </w:p>
        </w:tc>
        <w:tc>
          <w:tcPr>
            <w:tcW w:w="825" w:type="dxa"/>
          </w:tcPr>
          <w:p>
            <w:pPr>
              <w:pStyle w:val="0"/>
              <w:jc w:val="center"/>
            </w:pPr>
            <w:r>
              <w:rPr>
                <w:sz w:val="20"/>
              </w:rPr>
              <w:t xml:space="preserve">2,00</w:t>
            </w:r>
          </w:p>
        </w:tc>
      </w:tr>
      <w:tr>
        <w:tblPrEx>
          <w:tblBorders>
            <w:insideH w:val="nil"/>
          </w:tblBorders>
        </w:tblPrEx>
        <w:tc>
          <w:tcPr>
            <w:tcW w:w="567" w:type="dxa"/>
            <w:tcBorders>
              <w:bottom w:val="nil"/>
            </w:tcBorders>
          </w:tcPr>
          <w:p>
            <w:pPr>
              <w:pStyle w:val="0"/>
            </w:pPr>
            <w:r>
              <w:rPr>
                <w:sz w:val="20"/>
              </w:rPr>
              <w:t xml:space="preserve">19.</w:t>
            </w:r>
          </w:p>
        </w:tc>
        <w:tc>
          <w:tcPr>
            <w:tcW w:w="2211" w:type="dxa"/>
            <w:tcBorders>
              <w:bottom w:val="nil"/>
            </w:tcBorders>
          </w:tcPr>
          <w:p>
            <w:pPr>
              <w:pStyle w:val="0"/>
            </w:pPr>
            <w:r>
              <w:rPr>
                <w:sz w:val="20"/>
              </w:rPr>
              <w:t xml:space="preserve">Среднее количество (контрольных) надзорных мероприятий в год</w:t>
            </w:r>
          </w:p>
        </w:tc>
        <w:tc>
          <w:tcPr>
            <w:tcW w:w="1368" w:type="dxa"/>
            <w:tcBorders>
              <w:bottom w:val="nil"/>
            </w:tcBorders>
          </w:tcPr>
          <w:p>
            <w:pPr>
              <w:pStyle w:val="0"/>
              <w:jc w:val="center"/>
            </w:pPr>
            <w:r>
              <w:rPr>
                <w:sz w:val="20"/>
              </w:rPr>
              <w:t xml:space="preserve">шт./год</w:t>
            </w:r>
          </w:p>
        </w:tc>
        <w:tc>
          <w:tcPr>
            <w:tcW w:w="821" w:type="dxa"/>
            <w:tcBorders>
              <w:bottom w:val="nil"/>
            </w:tcBorders>
          </w:tcPr>
          <w:p>
            <w:pPr>
              <w:pStyle w:val="0"/>
              <w:jc w:val="center"/>
            </w:pPr>
            <w:r>
              <w:rPr>
                <w:sz w:val="20"/>
              </w:rPr>
              <w:t xml:space="preserve">0,71</w:t>
            </w:r>
          </w:p>
        </w:tc>
        <w:tc>
          <w:tcPr>
            <w:tcW w:w="821" w:type="dxa"/>
            <w:tcBorders>
              <w:bottom w:val="nil"/>
            </w:tcBorders>
          </w:tcPr>
          <w:p>
            <w:pPr>
              <w:pStyle w:val="0"/>
              <w:jc w:val="center"/>
            </w:pPr>
            <w:r>
              <w:rPr>
                <w:sz w:val="20"/>
              </w:rPr>
              <w:t xml:space="preserve">0,50</w:t>
            </w:r>
          </w:p>
        </w:tc>
        <w:tc>
          <w:tcPr>
            <w:tcW w:w="821" w:type="dxa"/>
            <w:tcBorders>
              <w:bottom w:val="nil"/>
            </w:tcBorders>
          </w:tcPr>
          <w:p>
            <w:pPr>
              <w:pStyle w:val="0"/>
              <w:jc w:val="center"/>
            </w:pPr>
            <w:r>
              <w:rPr>
                <w:sz w:val="20"/>
              </w:rPr>
              <w:t xml:space="preserve">0,25</w:t>
            </w:r>
          </w:p>
        </w:tc>
        <w:tc>
          <w:tcPr>
            <w:tcW w:w="821" w:type="dxa"/>
            <w:tcBorders>
              <w:bottom w:val="nil"/>
            </w:tcBorders>
          </w:tcPr>
          <w:p>
            <w:pPr>
              <w:pStyle w:val="0"/>
              <w:jc w:val="center"/>
            </w:pPr>
            <w:r>
              <w:rPr>
                <w:sz w:val="20"/>
              </w:rPr>
              <w:t xml:space="preserve">0,24</w:t>
            </w:r>
          </w:p>
        </w:tc>
        <w:tc>
          <w:tcPr>
            <w:tcW w:w="821" w:type="dxa"/>
            <w:tcBorders>
              <w:bottom w:val="nil"/>
            </w:tcBorders>
          </w:tcPr>
          <w:p>
            <w:pPr>
              <w:pStyle w:val="0"/>
              <w:jc w:val="center"/>
            </w:pPr>
            <w:r>
              <w:rPr>
                <w:sz w:val="20"/>
              </w:rPr>
              <w:t xml:space="preserve">0,23</w:t>
            </w:r>
          </w:p>
        </w:tc>
        <w:tc>
          <w:tcPr>
            <w:tcW w:w="825" w:type="dxa"/>
            <w:tcBorders>
              <w:bottom w:val="nil"/>
            </w:tcBorders>
          </w:tcPr>
          <w:p>
            <w:pPr>
              <w:pStyle w:val="0"/>
              <w:jc w:val="center"/>
            </w:pPr>
            <w:r>
              <w:rPr>
                <w:sz w:val="20"/>
              </w:rPr>
              <w:t xml:space="preserve">0,21</w:t>
            </w:r>
          </w:p>
        </w:tc>
      </w:tr>
      <w:tr>
        <w:tblPrEx>
          <w:tblBorders>
            <w:insideH w:val="nil"/>
          </w:tblBorders>
        </w:tblPrEx>
        <w:tc>
          <w:tcPr>
            <w:gridSpan w:val="9"/>
            <w:tcW w:w="9076" w:type="dxa"/>
            <w:tcBorders>
              <w:top w:val="nil"/>
            </w:tcBorders>
          </w:tcPr>
          <w:p>
            <w:pPr>
              <w:pStyle w:val="0"/>
              <w:jc w:val="both"/>
            </w:pPr>
            <w:r>
              <w:rPr>
                <w:sz w:val="20"/>
              </w:rPr>
              <w:t xml:space="preserve">(в ред. </w:t>
            </w:r>
            <w:hyperlink w:history="0" r:id="rId14"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Распоряжения</w:t>
              </w:r>
            </w:hyperlink>
            <w:r>
              <w:rPr>
                <w:sz w:val="20"/>
              </w:rPr>
              <w:t xml:space="preserve"> Губернатора Сахалинской области от 18.12.2025 N 323-р)</w:t>
            </w:r>
          </w:p>
        </w:tc>
      </w:tr>
      <w:tr>
        <w:tblPrEx>
          <w:tblBorders>
            <w:insideH w:val="nil"/>
          </w:tblBorders>
        </w:tblPrEx>
        <w:tc>
          <w:tcPr>
            <w:tcW w:w="567" w:type="dxa"/>
            <w:tcBorders>
              <w:bottom w:val="nil"/>
            </w:tcBorders>
          </w:tcPr>
          <w:p>
            <w:pPr>
              <w:pStyle w:val="0"/>
            </w:pPr>
            <w:r>
              <w:rPr>
                <w:sz w:val="20"/>
              </w:rPr>
              <w:t xml:space="preserve">20.</w:t>
            </w:r>
          </w:p>
        </w:tc>
        <w:tc>
          <w:tcPr>
            <w:gridSpan w:val="8"/>
            <w:tcW w:w="8509" w:type="dxa"/>
            <w:tcBorders>
              <w:bottom w:val="nil"/>
            </w:tcBorders>
          </w:tcPr>
          <w:p>
            <w:pPr>
              <w:pStyle w:val="0"/>
              <w:jc w:val="both"/>
            </w:pPr>
            <w:r>
              <w:rPr>
                <w:sz w:val="20"/>
              </w:rPr>
              <w:t xml:space="preserve">Утратил силу. - </w:t>
            </w:r>
            <w:hyperlink w:history="0" r:id="rId15"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Распоряжение</w:t>
              </w:r>
            </w:hyperlink>
            <w:r>
              <w:rPr>
                <w:sz w:val="20"/>
              </w:rPr>
              <w:t xml:space="preserve"> Губернатора Сахалинской области от 18.12.2025 N 323-р</w:t>
            </w:r>
          </w:p>
        </w:tc>
      </w:tr>
      <w:tr>
        <w:tc>
          <w:tcPr>
            <w:tcW w:w="567" w:type="dxa"/>
          </w:tcPr>
          <w:p>
            <w:pPr>
              <w:pStyle w:val="0"/>
            </w:pPr>
            <w:r>
              <w:rPr>
                <w:sz w:val="20"/>
              </w:rPr>
              <w:t xml:space="preserve">21.</w:t>
            </w:r>
          </w:p>
        </w:tc>
        <w:tc>
          <w:tcPr>
            <w:tcW w:w="2211" w:type="dxa"/>
          </w:tcPr>
          <w:p>
            <w:pPr>
              <w:pStyle w:val="0"/>
            </w:pPr>
            <w:r>
              <w:rPr>
                <w:sz w:val="20"/>
              </w:rPr>
              <w:t xml:space="preserve">Доля компаний, столкнувшихся с давлением со стороны органов власти или естественных монополий</w:t>
            </w:r>
          </w:p>
        </w:tc>
        <w:tc>
          <w:tcPr>
            <w:tcW w:w="1368" w:type="dxa"/>
          </w:tcPr>
          <w:p>
            <w:pPr>
              <w:pStyle w:val="0"/>
              <w:jc w:val="center"/>
            </w:pPr>
            <w:r>
              <w:rPr>
                <w:sz w:val="20"/>
              </w:rPr>
              <w:t xml:space="preserve">%</w:t>
            </w:r>
          </w:p>
        </w:tc>
        <w:tc>
          <w:tcPr>
            <w:tcW w:w="821" w:type="dxa"/>
          </w:tcPr>
          <w:p>
            <w:pPr>
              <w:pStyle w:val="0"/>
              <w:jc w:val="center"/>
            </w:pPr>
            <w:r>
              <w:rPr>
                <w:sz w:val="20"/>
              </w:rPr>
              <w:t xml:space="preserve">14,39</w:t>
            </w:r>
          </w:p>
        </w:tc>
        <w:tc>
          <w:tcPr>
            <w:tcW w:w="821" w:type="dxa"/>
          </w:tcPr>
          <w:p>
            <w:pPr>
              <w:pStyle w:val="0"/>
              <w:jc w:val="center"/>
            </w:pPr>
            <w:r>
              <w:rPr>
                <w:sz w:val="20"/>
              </w:rPr>
              <w:t xml:space="preserve">8,49</w:t>
            </w:r>
          </w:p>
        </w:tc>
        <w:tc>
          <w:tcPr>
            <w:tcW w:w="821" w:type="dxa"/>
          </w:tcPr>
          <w:p>
            <w:pPr>
              <w:pStyle w:val="0"/>
              <w:jc w:val="center"/>
            </w:pPr>
            <w:r>
              <w:rPr>
                <w:sz w:val="20"/>
              </w:rPr>
              <w:t xml:space="preserve">3,15</w:t>
            </w:r>
          </w:p>
        </w:tc>
        <w:tc>
          <w:tcPr>
            <w:tcW w:w="821" w:type="dxa"/>
          </w:tcPr>
          <w:p>
            <w:pPr>
              <w:pStyle w:val="0"/>
              <w:jc w:val="center"/>
            </w:pPr>
            <w:r>
              <w:rPr>
                <w:sz w:val="20"/>
              </w:rPr>
              <w:t xml:space="preserve">2,00</w:t>
            </w:r>
          </w:p>
        </w:tc>
        <w:tc>
          <w:tcPr>
            <w:tcW w:w="821" w:type="dxa"/>
          </w:tcPr>
          <w:p>
            <w:pPr>
              <w:pStyle w:val="0"/>
              <w:jc w:val="center"/>
            </w:pPr>
            <w:r>
              <w:rPr>
                <w:sz w:val="20"/>
              </w:rPr>
              <w:t xml:space="preserve">1,00</w:t>
            </w:r>
          </w:p>
        </w:tc>
        <w:tc>
          <w:tcPr>
            <w:tcW w:w="825" w:type="dxa"/>
          </w:tcPr>
          <w:p>
            <w:pPr>
              <w:pStyle w:val="0"/>
              <w:jc w:val="center"/>
            </w:pPr>
            <w:r>
              <w:rPr>
                <w:sz w:val="20"/>
              </w:rPr>
              <w:t xml:space="preserve">0,00</w:t>
            </w:r>
          </w:p>
        </w:tc>
      </w:tr>
      <w:tr>
        <w:tc>
          <w:tcPr>
            <w:tcW w:w="567" w:type="dxa"/>
          </w:tcPr>
          <w:p>
            <w:pPr>
              <w:pStyle w:val="0"/>
            </w:pPr>
            <w:r>
              <w:rPr>
                <w:sz w:val="20"/>
              </w:rPr>
              <w:t xml:space="preserve">22.</w:t>
            </w:r>
          </w:p>
        </w:tc>
        <w:tc>
          <w:tcPr>
            <w:tcW w:w="2211" w:type="dxa"/>
          </w:tcPr>
          <w:p>
            <w:pPr>
              <w:pStyle w:val="0"/>
            </w:pPr>
            <w:r>
              <w:rPr>
                <w:sz w:val="20"/>
              </w:rPr>
              <w:t xml:space="preserve">Доля коммерческих организаций, в отношении которых проведены контрольные (надзорные) мероприятия, от общего числа подконтрольных</w:t>
            </w:r>
          </w:p>
        </w:tc>
        <w:tc>
          <w:tcPr>
            <w:tcW w:w="1368" w:type="dxa"/>
          </w:tcPr>
          <w:p>
            <w:pPr>
              <w:pStyle w:val="0"/>
              <w:jc w:val="center"/>
            </w:pPr>
            <w:r>
              <w:rPr>
                <w:sz w:val="20"/>
              </w:rPr>
              <w:t xml:space="preserve">%</w:t>
            </w:r>
          </w:p>
        </w:tc>
        <w:tc>
          <w:tcPr>
            <w:tcW w:w="821" w:type="dxa"/>
          </w:tcPr>
          <w:p>
            <w:pPr>
              <w:pStyle w:val="0"/>
              <w:jc w:val="center"/>
            </w:pPr>
            <w:r>
              <w:rPr>
                <w:sz w:val="20"/>
              </w:rPr>
              <w:t xml:space="preserve">2,39</w:t>
            </w:r>
          </w:p>
        </w:tc>
        <w:tc>
          <w:tcPr>
            <w:tcW w:w="821" w:type="dxa"/>
          </w:tcPr>
          <w:p>
            <w:pPr>
              <w:pStyle w:val="0"/>
              <w:jc w:val="center"/>
            </w:pPr>
            <w:r>
              <w:rPr>
                <w:sz w:val="20"/>
              </w:rPr>
              <w:t xml:space="preserve">1,79</w:t>
            </w:r>
          </w:p>
        </w:tc>
        <w:tc>
          <w:tcPr>
            <w:tcW w:w="821" w:type="dxa"/>
          </w:tcPr>
          <w:p>
            <w:pPr>
              <w:pStyle w:val="0"/>
              <w:jc w:val="center"/>
            </w:pPr>
            <w:r>
              <w:rPr>
                <w:sz w:val="20"/>
              </w:rPr>
              <w:t xml:space="preserve">0,37</w:t>
            </w:r>
          </w:p>
        </w:tc>
        <w:tc>
          <w:tcPr>
            <w:tcW w:w="821" w:type="dxa"/>
          </w:tcPr>
          <w:p>
            <w:pPr>
              <w:pStyle w:val="0"/>
              <w:jc w:val="center"/>
            </w:pPr>
            <w:r>
              <w:rPr>
                <w:sz w:val="20"/>
              </w:rPr>
              <w:t xml:space="preserve">0,32</w:t>
            </w:r>
          </w:p>
        </w:tc>
        <w:tc>
          <w:tcPr>
            <w:tcW w:w="821" w:type="dxa"/>
          </w:tcPr>
          <w:p>
            <w:pPr>
              <w:pStyle w:val="0"/>
              <w:jc w:val="center"/>
            </w:pPr>
            <w:r>
              <w:rPr>
                <w:sz w:val="20"/>
              </w:rPr>
              <w:t xml:space="preserve">0,29</w:t>
            </w:r>
          </w:p>
        </w:tc>
        <w:tc>
          <w:tcPr>
            <w:tcW w:w="825" w:type="dxa"/>
          </w:tcPr>
          <w:p>
            <w:pPr>
              <w:pStyle w:val="0"/>
              <w:jc w:val="center"/>
            </w:pPr>
            <w:r>
              <w:rPr>
                <w:sz w:val="20"/>
              </w:rPr>
              <w:t xml:space="preserve">0,25</w:t>
            </w:r>
          </w:p>
        </w:tc>
      </w:tr>
      <w:tr>
        <w:tc>
          <w:tcPr>
            <w:tcW w:w="567" w:type="dxa"/>
          </w:tcPr>
          <w:p>
            <w:pPr>
              <w:pStyle w:val="0"/>
            </w:pPr>
            <w:r>
              <w:rPr>
                <w:sz w:val="20"/>
              </w:rPr>
              <w:t xml:space="preserve">23.</w:t>
            </w:r>
          </w:p>
        </w:tc>
        <w:tc>
          <w:tcPr>
            <w:tcW w:w="2211" w:type="dxa"/>
          </w:tcPr>
          <w:p>
            <w:pPr>
              <w:pStyle w:val="0"/>
            </w:pPr>
            <w:r>
              <w:rPr>
                <w:sz w:val="20"/>
              </w:rPr>
              <w:t xml:space="preserve">Доля предпринимателей, сталкивавшихся с необоснованным силовым давлением со стороны правоохранительных органов (от общего числа опрошенных)</w:t>
            </w:r>
          </w:p>
        </w:tc>
        <w:tc>
          <w:tcPr>
            <w:tcW w:w="1368" w:type="dxa"/>
          </w:tcPr>
          <w:p>
            <w:pPr>
              <w:pStyle w:val="0"/>
              <w:jc w:val="center"/>
            </w:pPr>
            <w:r>
              <w:rPr>
                <w:sz w:val="20"/>
              </w:rPr>
              <w:t xml:space="preserve">%</w:t>
            </w:r>
          </w:p>
        </w:tc>
        <w:tc>
          <w:tcPr>
            <w:tcW w:w="821" w:type="dxa"/>
          </w:tcPr>
          <w:p>
            <w:pPr>
              <w:pStyle w:val="0"/>
              <w:jc w:val="center"/>
            </w:pPr>
            <w:r>
              <w:rPr>
                <w:sz w:val="20"/>
              </w:rPr>
              <w:t xml:space="preserve">3,14</w:t>
            </w:r>
          </w:p>
        </w:tc>
        <w:tc>
          <w:tcPr>
            <w:tcW w:w="821" w:type="dxa"/>
          </w:tcPr>
          <w:p>
            <w:pPr>
              <w:pStyle w:val="0"/>
              <w:jc w:val="center"/>
            </w:pPr>
            <w:r>
              <w:rPr>
                <w:sz w:val="20"/>
              </w:rPr>
              <w:t xml:space="preserve">3,00</w:t>
            </w:r>
          </w:p>
        </w:tc>
        <w:tc>
          <w:tcPr>
            <w:tcW w:w="821" w:type="dxa"/>
          </w:tcPr>
          <w:p>
            <w:pPr>
              <w:pStyle w:val="0"/>
              <w:jc w:val="center"/>
            </w:pPr>
            <w:r>
              <w:rPr>
                <w:sz w:val="20"/>
              </w:rPr>
              <w:t xml:space="preserve">0,92</w:t>
            </w:r>
          </w:p>
        </w:tc>
        <w:tc>
          <w:tcPr>
            <w:tcW w:w="821" w:type="dxa"/>
          </w:tcPr>
          <w:p>
            <w:pPr>
              <w:pStyle w:val="0"/>
              <w:jc w:val="center"/>
            </w:pPr>
            <w:r>
              <w:rPr>
                <w:sz w:val="20"/>
              </w:rPr>
              <w:t xml:space="preserve">0,46</w:t>
            </w:r>
          </w:p>
        </w:tc>
        <w:tc>
          <w:tcPr>
            <w:tcW w:w="821" w:type="dxa"/>
          </w:tcPr>
          <w:p>
            <w:pPr>
              <w:pStyle w:val="0"/>
              <w:jc w:val="center"/>
            </w:pPr>
            <w:r>
              <w:rPr>
                <w:sz w:val="20"/>
              </w:rPr>
              <w:t xml:space="preserve">0,23</w:t>
            </w:r>
          </w:p>
        </w:tc>
        <w:tc>
          <w:tcPr>
            <w:tcW w:w="825" w:type="dxa"/>
          </w:tcPr>
          <w:p>
            <w:pPr>
              <w:pStyle w:val="0"/>
              <w:jc w:val="center"/>
            </w:pPr>
            <w:r>
              <w:rPr>
                <w:sz w:val="20"/>
              </w:rPr>
              <w:t xml:space="preserve">0,00</w:t>
            </w:r>
          </w:p>
        </w:tc>
      </w:tr>
      <w:tr>
        <w:tc>
          <w:tcPr>
            <w:tcW w:w="567" w:type="dxa"/>
          </w:tcPr>
          <w:p>
            <w:pPr>
              <w:pStyle w:val="0"/>
            </w:pPr>
            <w:r>
              <w:rPr>
                <w:sz w:val="20"/>
              </w:rPr>
              <w:t xml:space="preserve">24.</w:t>
            </w:r>
          </w:p>
        </w:tc>
        <w:tc>
          <w:tcPr>
            <w:tcW w:w="2211" w:type="dxa"/>
          </w:tcPr>
          <w:p>
            <w:pPr>
              <w:pStyle w:val="0"/>
            </w:pPr>
            <w:r>
              <w:rPr>
                <w:sz w:val="20"/>
              </w:rPr>
              <w:t xml:space="preserve">Среднее время постановки на кадастровый учет</w:t>
            </w:r>
          </w:p>
        </w:tc>
        <w:tc>
          <w:tcPr>
            <w:tcW w:w="1368" w:type="dxa"/>
          </w:tcPr>
          <w:p>
            <w:pPr>
              <w:pStyle w:val="0"/>
              <w:jc w:val="center"/>
            </w:pPr>
            <w:r>
              <w:rPr>
                <w:sz w:val="20"/>
              </w:rPr>
              <w:t xml:space="preserve">рабочие дни</w:t>
            </w:r>
          </w:p>
        </w:tc>
        <w:tc>
          <w:tcPr>
            <w:tcW w:w="821" w:type="dxa"/>
          </w:tcPr>
          <w:p>
            <w:pPr>
              <w:pStyle w:val="0"/>
              <w:jc w:val="center"/>
            </w:pPr>
            <w:r>
              <w:rPr>
                <w:sz w:val="20"/>
              </w:rPr>
              <w:t xml:space="preserve">11,64</w:t>
            </w:r>
          </w:p>
        </w:tc>
        <w:tc>
          <w:tcPr>
            <w:tcW w:w="821" w:type="dxa"/>
          </w:tcPr>
          <w:p>
            <w:pPr>
              <w:pStyle w:val="0"/>
              <w:jc w:val="center"/>
            </w:pPr>
            <w:r>
              <w:rPr>
                <w:sz w:val="20"/>
              </w:rPr>
              <w:t xml:space="preserve">11,50</w:t>
            </w:r>
          </w:p>
        </w:tc>
        <w:tc>
          <w:tcPr>
            <w:tcW w:w="821" w:type="dxa"/>
          </w:tcPr>
          <w:p>
            <w:pPr>
              <w:pStyle w:val="0"/>
              <w:jc w:val="center"/>
            </w:pPr>
            <w:r>
              <w:rPr>
                <w:sz w:val="20"/>
              </w:rPr>
              <w:t xml:space="preserve">11,20</w:t>
            </w:r>
          </w:p>
        </w:tc>
        <w:tc>
          <w:tcPr>
            <w:tcW w:w="821" w:type="dxa"/>
          </w:tcPr>
          <w:p>
            <w:pPr>
              <w:pStyle w:val="0"/>
              <w:jc w:val="center"/>
            </w:pPr>
            <w:r>
              <w:rPr>
                <w:sz w:val="20"/>
              </w:rPr>
              <w:t xml:space="preserve">11,00</w:t>
            </w:r>
          </w:p>
        </w:tc>
        <w:tc>
          <w:tcPr>
            <w:tcW w:w="821" w:type="dxa"/>
          </w:tcPr>
          <w:p>
            <w:pPr>
              <w:pStyle w:val="0"/>
              <w:jc w:val="center"/>
            </w:pPr>
            <w:r>
              <w:rPr>
                <w:sz w:val="20"/>
              </w:rPr>
              <w:t xml:space="preserve">10,70</w:t>
            </w:r>
          </w:p>
        </w:tc>
        <w:tc>
          <w:tcPr>
            <w:tcW w:w="825" w:type="dxa"/>
          </w:tcPr>
          <w:p>
            <w:pPr>
              <w:pStyle w:val="0"/>
              <w:jc w:val="center"/>
            </w:pPr>
            <w:r>
              <w:rPr>
                <w:sz w:val="20"/>
              </w:rPr>
              <w:t xml:space="preserve">10,50</w:t>
            </w:r>
          </w:p>
        </w:tc>
      </w:tr>
      <w:tr>
        <w:tc>
          <w:tcPr>
            <w:tcW w:w="567" w:type="dxa"/>
          </w:tcPr>
          <w:p>
            <w:pPr>
              <w:pStyle w:val="0"/>
            </w:pPr>
            <w:r>
              <w:rPr>
                <w:sz w:val="20"/>
              </w:rPr>
              <w:t xml:space="preserve">25.</w:t>
            </w:r>
          </w:p>
        </w:tc>
        <w:tc>
          <w:tcPr>
            <w:tcW w:w="2211" w:type="dxa"/>
          </w:tcPr>
          <w:p>
            <w:pPr>
              <w:pStyle w:val="0"/>
            </w:pPr>
            <w:r>
              <w:rPr>
                <w:sz w:val="20"/>
              </w:rPr>
              <w:t xml:space="preserve">Среднее количество процедур, необходимых для постановки на кадастровый учет</w:t>
            </w:r>
          </w:p>
        </w:tc>
        <w:tc>
          <w:tcPr>
            <w:tcW w:w="1368" w:type="dxa"/>
          </w:tcPr>
          <w:p>
            <w:pPr>
              <w:pStyle w:val="0"/>
              <w:jc w:val="center"/>
            </w:pPr>
            <w:r>
              <w:rPr>
                <w:sz w:val="20"/>
              </w:rPr>
              <w:t xml:space="preserve">шт.</w:t>
            </w:r>
          </w:p>
        </w:tc>
        <w:tc>
          <w:tcPr>
            <w:tcW w:w="821" w:type="dxa"/>
          </w:tcPr>
          <w:p>
            <w:pPr>
              <w:pStyle w:val="0"/>
              <w:jc w:val="center"/>
            </w:pPr>
            <w:r>
              <w:rPr>
                <w:sz w:val="20"/>
              </w:rPr>
              <w:t xml:space="preserve">1,45</w:t>
            </w:r>
          </w:p>
        </w:tc>
        <w:tc>
          <w:tcPr>
            <w:tcW w:w="821" w:type="dxa"/>
          </w:tcPr>
          <w:p>
            <w:pPr>
              <w:pStyle w:val="0"/>
              <w:jc w:val="center"/>
            </w:pPr>
            <w:r>
              <w:rPr>
                <w:sz w:val="20"/>
              </w:rPr>
              <w:t xml:space="preserve">1,00</w:t>
            </w:r>
          </w:p>
        </w:tc>
        <w:tc>
          <w:tcPr>
            <w:tcW w:w="821" w:type="dxa"/>
          </w:tcPr>
          <w:p>
            <w:pPr>
              <w:pStyle w:val="0"/>
              <w:jc w:val="center"/>
            </w:pPr>
            <w:r>
              <w:rPr>
                <w:sz w:val="20"/>
              </w:rPr>
              <w:t xml:space="preserve">1,00</w:t>
            </w:r>
          </w:p>
        </w:tc>
        <w:tc>
          <w:tcPr>
            <w:tcW w:w="821" w:type="dxa"/>
          </w:tcPr>
          <w:p>
            <w:pPr>
              <w:pStyle w:val="0"/>
              <w:jc w:val="center"/>
            </w:pPr>
            <w:r>
              <w:rPr>
                <w:sz w:val="20"/>
              </w:rPr>
              <w:t xml:space="preserve">1,00</w:t>
            </w:r>
          </w:p>
        </w:tc>
        <w:tc>
          <w:tcPr>
            <w:tcW w:w="821" w:type="dxa"/>
          </w:tcPr>
          <w:p>
            <w:pPr>
              <w:pStyle w:val="0"/>
              <w:jc w:val="center"/>
            </w:pPr>
            <w:r>
              <w:rPr>
                <w:sz w:val="20"/>
              </w:rPr>
              <w:t xml:space="preserve">1,00</w:t>
            </w:r>
          </w:p>
        </w:tc>
        <w:tc>
          <w:tcPr>
            <w:tcW w:w="825" w:type="dxa"/>
          </w:tcPr>
          <w:p>
            <w:pPr>
              <w:pStyle w:val="0"/>
              <w:jc w:val="center"/>
            </w:pPr>
            <w:r>
              <w:rPr>
                <w:sz w:val="20"/>
              </w:rPr>
              <w:t xml:space="preserve">1,00</w:t>
            </w:r>
          </w:p>
        </w:tc>
      </w:tr>
      <w:tr>
        <w:tblPrEx>
          <w:tblBorders>
            <w:insideH w:val="nil"/>
          </w:tblBorders>
        </w:tblPrEx>
        <w:tc>
          <w:tcPr>
            <w:tcW w:w="567" w:type="dxa"/>
          </w:tcPr>
          <w:p>
            <w:pPr>
              <w:pStyle w:val="0"/>
            </w:pPr>
            <w:r>
              <w:rPr>
                <w:sz w:val="20"/>
              </w:rPr>
              <w:t xml:space="preserve">26 - 27.</w:t>
            </w:r>
          </w:p>
        </w:tc>
        <w:tc>
          <w:tcPr>
            <w:gridSpan w:val="8"/>
            <w:tcW w:w="8509" w:type="dxa"/>
          </w:tcPr>
          <w:p>
            <w:pPr>
              <w:pStyle w:val="0"/>
              <w:jc w:val="both"/>
            </w:pPr>
            <w:r>
              <w:rPr>
                <w:sz w:val="20"/>
              </w:rPr>
              <w:t xml:space="preserve">Утратили силу. - </w:t>
            </w:r>
            <w:hyperlink w:history="0" r:id="rId16"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Распоряжение</w:t>
              </w:r>
            </w:hyperlink>
            <w:r>
              <w:rPr>
                <w:sz w:val="20"/>
              </w:rPr>
              <w:t xml:space="preserve"> Губернатора Сахалинской области от 18.12.2025 N 323-р</w:t>
            </w:r>
          </w:p>
        </w:tc>
      </w:tr>
    </w:tbl>
    <w:p>
      <w:pPr>
        <w:pStyle w:val="0"/>
      </w:pPr>
      <w:r>
        <w:rPr>
          <w:sz w:val="20"/>
        </w:rPr>
      </w:r>
    </w:p>
    <w:p>
      <w:pPr>
        <w:pStyle w:val="0"/>
        <w:ind w:firstLine="540"/>
        <w:jc w:val="both"/>
      </w:pPr>
      <w:r>
        <w:rPr>
          <w:sz w:val="20"/>
        </w:rPr>
        <w:t xml:space="preserve">--------------------------------</w:t>
      </w:r>
    </w:p>
    <w:bookmarkStart w:id="294" w:name="P294"/>
    <w:bookmarkEnd w:id="294"/>
    <w:p>
      <w:pPr>
        <w:pStyle w:val="0"/>
        <w:spacing w:before="200" w:lineRule="auto"/>
        <w:ind w:firstLine="540"/>
        <w:jc w:val="both"/>
      </w:pPr>
      <w:r>
        <w:rPr>
          <w:sz w:val="20"/>
        </w:rPr>
        <w:t xml:space="preserve">&lt;1&gt; Результат Сахалинской области в Национальном рейтинге состояния инвестиционного климата в субъектах Российской Федерации 2025.</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305" w:name="P305"/>
    <w:bookmarkEnd w:id="305"/>
    <w:p>
      <w:pPr>
        <w:pStyle w:val="2"/>
        <w:jc w:val="center"/>
      </w:pPr>
      <w:r>
        <w:rPr>
          <w:sz w:val="20"/>
        </w:rPr>
        <w:t xml:space="preserve">ПЛАН</w:t>
      </w:r>
    </w:p>
    <w:p>
      <w:pPr>
        <w:pStyle w:val="2"/>
        <w:jc w:val="center"/>
      </w:pPr>
      <w:r>
        <w:rPr>
          <w:sz w:val="20"/>
        </w:rPr>
        <w:t xml:space="preserve">МЕРОПРИЯТИЙ ("ДОРОЖНАЯ КАРТА")</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ПО ФАКТОРУ "ЭФФЕКТИВНОСТЬ</w:t>
      </w:r>
    </w:p>
    <w:p>
      <w:pPr>
        <w:pStyle w:val="2"/>
        <w:jc w:val="center"/>
      </w:pPr>
      <w:r>
        <w:rPr>
          <w:sz w:val="20"/>
        </w:rPr>
        <w:t xml:space="preserve">ПРОЦЕДУР ПО ВЫДАЧЕ РАЗРЕШЕНИЙ НА СТРОИТЕЛЬСТВО"</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7"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14.11.2025 N 286-р)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2154"/>
        <w:gridCol w:w="1984"/>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2154" w:type="dxa"/>
          </w:tcPr>
          <w:p>
            <w:pPr>
              <w:pStyle w:val="0"/>
              <w:jc w:val="center"/>
            </w:pPr>
            <w:r>
              <w:rPr>
                <w:sz w:val="20"/>
              </w:rPr>
              <w:t xml:space="preserve">Наименование мероприятия</w:t>
            </w:r>
          </w:p>
        </w:tc>
        <w:tc>
          <w:tcPr>
            <w:tcW w:w="1984"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2154" w:type="dxa"/>
          </w:tcPr>
          <w:p>
            <w:pPr>
              <w:pStyle w:val="0"/>
              <w:jc w:val="center"/>
            </w:pPr>
            <w:r>
              <w:rPr>
                <w:sz w:val="20"/>
              </w:rPr>
              <w:t xml:space="preserve">3</w:t>
            </w:r>
          </w:p>
        </w:tc>
        <w:tc>
          <w:tcPr>
            <w:tcW w:w="1984"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1.1.1 "Среднее время получения разрешения на строительство"</w:t>
            </w:r>
          </w:p>
        </w:tc>
        <w:tc>
          <w:tcPr>
            <w:tcW w:w="2154" w:type="dxa"/>
          </w:tcPr>
          <w:p>
            <w:pPr>
              <w:pStyle w:val="0"/>
            </w:pPr>
            <w:r>
              <w:rPr>
                <w:sz w:val="20"/>
              </w:rPr>
              <w:t xml:space="preserve">Формирование плана коммуникаций посредством цифровизации схем сетей инженерных коммуникаций в государственной информационной системе обеспечения градостроительной деятельности Сахалинской области (далее - ГИСОГД СО)</w:t>
            </w:r>
          </w:p>
        </w:tc>
        <w:tc>
          <w:tcPr>
            <w:tcW w:w="1984" w:type="dxa"/>
          </w:tcPr>
          <w:p>
            <w:pPr>
              <w:pStyle w:val="0"/>
            </w:pPr>
            <w:r>
              <w:rPr>
                <w:sz w:val="20"/>
              </w:rPr>
              <w:t xml:space="preserve">Наличие сформированного плана коммуникаций:</w:t>
            </w:r>
          </w:p>
          <w:p>
            <w:pPr>
              <w:pStyle w:val="0"/>
            </w:pPr>
            <w:r>
              <w:rPr>
                <w:sz w:val="20"/>
              </w:rPr>
              <w:t xml:space="preserve">до 31.12.2025 - с покрытием не менее 9 муниципальных образований;</w:t>
            </w:r>
          </w:p>
          <w:p>
            <w:pPr>
              <w:pStyle w:val="0"/>
            </w:pPr>
            <w:r>
              <w:rPr>
                <w:sz w:val="20"/>
              </w:rPr>
              <w:t xml:space="preserve">до 31.12.2026 - с покрытием 18 муниципальных образований</w:t>
            </w: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31.12.2026</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1.1.</w:t>
            </w:r>
          </w:p>
        </w:tc>
        <w:tc>
          <w:tcPr>
            <w:vMerge w:val="continue"/>
          </w:tcPr>
          <w:p/>
        </w:tc>
        <w:tc>
          <w:tcPr>
            <w:tcW w:w="2154" w:type="dxa"/>
          </w:tcPr>
          <w:p>
            <w:pPr>
              <w:pStyle w:val="0"/>
            </w:pPr>
            <w:r>
              <w:rPr>
                <w:sz w:val="20"/>
              </w:rPr>
              <w:t xml:space="preserve">Наполнение плана коммуникаций на основе цифровых актуализированных схем инженерных коммуникаций</w:t>
            </w:r>
          </w:p>
        </w:tc>
        <w:tc>
          <w:tcPr>
            <w:tcW w:w="1984" w:type="dxa"/>
          </w:tcPr>
          <w:p>
            <w:pPr>
              <w:pStyle w:val="0"/>
            </w:pPr>
            <w:r>
              <w:rPr>
                <w:sz w:val="20"/>
              </w:rPr>
              <w:t xml:space="preserve">Наличие актуальной информации о состоянии и развитии инфраструктуры</w:t>
            </w: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31.12.2026 (далее по мере необходимости)</w:t>
            </w:r>
          </w:p>
        </w:tc>
        <w:tc>
          <w:tcPr>
            <w:tcW w:w="1644" w:type="dxa"/>
          </w:tcPr>
          <w:p>
            <w:pPr>
              <w:pStyle w:val="0"/>
            </w:pPr>
            <w:r>
              <w:rPr>
                <w:sz w:val="20"/>
              </w:rPr>
              <w:t xml:space="preserve">Муниципальные образования Сахалинской области</w:t>
            </w:r>
          </w:p>
        </w:tc>
      </w:tr>
      <w:tr>
        <w:tc>
          <w:tcPr>
            <w:tcW w:w="563" w:type="dxa"/>
          </w:tcPr>
          <w:p>
            <w:pPr>
              <w:pStyle w:val="0"/>
            </w:pPr>
            <w:r>
              <w:rPr>
                <w:sz w:val="20"/>
              </w:rPr>
              <w:t xml:space="preserve">2.</w:t>
            </w:r>
          </w:p>
        </w:tc>
        <w:tc>
          <w:tcPr>
            <w:vMerge w:val="continue"/>
          </w:tcPr>
          <w:p/>
        </w:tc>
        <w:tc>
          <w:tcPr>
            <w:tcW w:w="2154" w:type="dxa"/>
          </w:tcPr>
          <w:p>
            <w:pPr>
              <w:pStyle w:val="0"/>
            </w:pPr>
            <w:r>
              <w:rPr>
                <w:sz w:val="20"/>
              </w:rPr>
              <w:t xml:space="preserve">Внедрение механизма цифровизации мастер-планов в ГИСОГД СО и Федеральной государственной информационной системе "Единая цифровая платформа Национальной системы пространственных данных" (далее - ФГИС ЕЦП НСПД)</w:t>
            </w:r>
          </w:p>
        </w:tc>
        <w:tc>
          <w:tcPr>
            <w:tcW w:w="1984" w:type="dxa"/>
          </w:tcPr>
          <w:p>
            <w:pPr>
              <w:pStyle w:val="0"/>
            </w:pPr>
            <w:r>
              <w:rPr>
                <w:sz w:val="20"/>
              </w:rPr>
              <w:t xml:space="preserve">Эффективное использование пространственных данных</w:t>
            </w:r>
          </w:p>
        </w:tc>
        <w:tc>
          <w:tcPr>
            <w:tcW w:w="1276" w:type="dxa"/>
          </w:tcPr>
          <w:p>
            <w:pPr>
              <w:pStyle w:val="0"/>
            </w:pPr>
            <w:r>
              <w:rPr>
                <w:sz w:val="20"/>
              </w:rPr>
              <w:t xml:space="preserve">Соглашение об информационном взаимодействии</w:t>
            </w:r>
          </w:p>
        </w:tc>
        <w:tc>
          <w:tcPr>
            <w:tcW w:w="1701" w:type="dxa"/>
          </w:tcPr>
          <w:p>
            <w:pPr>
              <w:pStyle w:val="0"/>
            </w:pPr>
            <w:r>
              <w:rPr>
                <w:sz w:val="20"/>
              </w:rPr>
              <w:t xml:space="preserve">ГИСОГД СО</w:t>
            </w:r>
          </w:p>
          <w:p>
            <w:pPr>
              <w:pStyle w:val="0"/>
            </w:pPr>
            <w:r>
              <w:rPr>
                <w:sz w:val="20"/>
              </w:rPr>
              <w:t xml:space="preserve">ФГИС ЕЦП НСПД</w:t>
            </w:r>
          </w:p>
        </w:tc>
        <w:tc>
          <w:tcPr>
            <w:tcW w:w="1276" w:type="dxa"/>
          </w:tcPr>
          <w:p>
            <w:pPr>
              <w:pStyle w:val="0"/>
              <w:jc w:val="center"/>
            </w:pPr>
            <w:r>
              <w:rPr>
                <w:sz w:val="20"/>
              </w:rPr>
              <w:t xml:space="preserve">До 31.12.2026</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2.1.</w:t>
            </w:r>
          </w:p>
        </w:tc>
        <w:tc>
          <w:tcPr>
            <w:vMerge w:val="continue"/>
          </w:tcPr>
          <w:p/>
        </w:tc>
        <w:tc>
          <w:tcPr>
            <w:tcW w:w="2154" w:type="dxa"/>
          </w:tcPr>
          <w:p>
            <w:pPr>
              <w:pStyle w:val="0"/>
            </w:pPr>
            <w:r>
              <w:rPr>
                <w:sz w:val="20"/>
              </w:rPr>
              <w:t xml:space="preserve">Актуализация разработанных мастер-планов муниципальных образований Сахалинской области в ГИСОГД СО:</w:t>
            </w:r>
          </w:p>
        </w:tc>
        <w:tc>
          <w:tcPr>
            <w:tcW w:w="1984" w:type="dxa"/>
            <w:vMerge w:val="restart"/>
          </w:tcPr>
          <w:p>
            <w:pPr>
              <w:pStyle w:val="0"/>
            </w:pPr>
            <w:r>
              <w:rPr>
                <w:sz w:val="20"/>
              </w:rPr>
              <w:t xml:space="preserve">Наличие актуальной информации в ГИСОГД СО о планах по стратегическому и пространственному развитию муниципальных образований Сахалинской области</w:t>
            </w: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01.07.2030</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2.1.1.</w:t>
            </w:r>
          </w:p>
        </w:tc>
        <w:tc>
          <w:tcPr>
            <w:vMerge w:val="continue"/>
          </w:tcPr>
          <w:p/>
        </w:tc>
        <w:tc>
          <w:tcPr>
            <w:tcW w:w="2154" w:type="dxa"/>
          </w:tcPr>
          <w:p>
            <w:pPr>
              <w:pStyle w:val="0"/>
            </w:pPr>
            <w:r>
              <w:rPr>
                <w:sz w:val="20"/>
              </w:rPr>
              <w:t xml:space="preserve">Городского округа "Город Южно-Сахалинск", Анивского муниципального округа Сахалинской области, Корсаковского муниципального округа Сахалинской области</w:t>
            </w:r>
          </w:p>
        </w:tc>
        <w:tc>
          <w:tcPr>
            <w:vMerge w:val="continue"/>
          </w:tcP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31.12.2026</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2.1.2.</w:t>
            </w:r>
          </w:p>
        </w:tc>
        <w:tc>
          <w:tcPr>
            <w:vMerge w:val="continue"/>
          </w:tcPr>
          <w:p/>
        </w:tc>
        <w:tc>
          <w:tcPr>
            <w:tcW w:w="2154" w:type="dxa"/>
          </w:tcPr>
          <w:p>
            <w:pPr>
              <w:pStyle w:val="0"/>
            </w:pPr>
            <w:r>
              <w:rPr>
                <w:sz w:val="20"/>
              </w:rPr>
              <w:t xml:space="preserve">Долинского муниципального округа Сахалинской области, Невельского муниципального округа Сахалинской области, Холмского муниципального округа Сахалинской области</w:t>
            </w:r>
          </w:p>
        </w:tc>
        <w:tc>
          <w:tcPr>
            <w:vMerge w:val="continue"/>
          </w:tcP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31.12.2027</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2.1.3.</w:t>
            </w:r>
          </w:p>
        </w:tc>
        <w:tc>
          <w:tcPr>
            <w:vMerge w:val="continue"/>
          </w:tcPr>
          <w:p/>
        </w:tc>
        <w:tc>
          <w:tcPr>
            <w:tcW w:w="2154" w:type="dxa"/>
          </w:tcPr>
          <w:p>
            <w:pPr>
              <w:pStyle w:val="0"/>
            </w:pPr>
            <w:r>
              <w:rPr>
                <w:sz w:val="20"/>
              </w:rPr>
              <w:t xml:space="preserve">Макаровского муниципального округа Сахалинской области, Поронайского муниципального округа Сахалинской области, Томаринского муниципального округа Сахалинской области, Углегорского муниципального округа Сахалинской области</w:t>
            </w:r>
          </w:p>
        </w:tc>
        <w:tc>
          <w:tcPr>
            <w:vMerge w:val="continue"/>
          </w:tcP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31.12.2028</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2.1.4.</w:t>
            </w:r>
          </w:p>
        </w:tc>
        <w:tc>
          <w:tcPr>
            <w:vMerge w:val="continue"/>
          </w:tcPr>
          <w:p/>
        </w:tc>
        <w:tc>
          <w:tcPr>
            <w:tcW w:w="2154" w:type="dxa"/>
          </w:tcPr>
          <w:p>
            <w:pPr>
              <w:pStyle w:val="0"/>
            </w:pPr>
            <w:r>
              <w:rPr>
                <w:sz w:val="20"/>
              </w:rPr>
              <w:t xml:space="preserve">Александровск-Сахалинского муниципального округа Сахалинской области, Охинского муниципального округа Сахалинской области, Ногликского муниципального округа Сахалинской области, Тымовского муниципального округа Сахалинской области, Смирныховского муниципального округа Сахалинской области</w:t>
            </w:r>
          </w:p>
        </w:tc>
        <w:tc>
          <w:tcPr>
            <w:vMerge w:val="continue"/>
          </w:tcP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31.12.2029</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2.1.5.</w:t>
            </w:r>
          </w:p>
        </w:tc>
        <w:tc>
          <w:tcPr>
            <w:vMerge w:val="continue"/>
          </w:tcPr>
          <w:p/>
        </w:tc>
        <w:tc>
          <w:tcPr>
            <w:tcW w:w="2154" w:type="dxa"/>
          </w:tcPr>
          <w:p>
            <w:pPr>
              <w:pStyle w:val="0"/>
            </w:pPr>
            <w:r>
              <w:rPr>
                <w:sz w:val="20"/>
              </w:rPr>
              <w:t xml:space="preserve">Курильского муниципального округа Сахалинской области, Северо-Курильского муниципального округа Сахалинской области, Южно-Курильского муниципального округа Сахалинской области</w:t>
            </w:r>
          </w:p>
        </w:tc>
        <w:tc>
          <w:tcPr>
            <w:vMerge w:val="continue"/>
          </w:tcP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01.07.2030</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3.</w:t>
            </w:r>
          </w:p>
        </w:tc>
        <w:tc>
          <w:tcPr>
            <w:vMerge w:val="continue"/>
          </w:tcPr>
          <w:p/>
        </w:tc>
        <w:tc>
          <w:tcPr>
            <w:tcW w:w="2154" w:type="dxa"/>
          </w:tcPr>
          <w:p>
            <w:pPr>
              <w:pStyle w:val="0"/>
            </w:pPr>
            <w:r>
              <w:rPr>
                <w:sz w:val="20"/>
              </w:rPr>
              <w:t xml:space="preserve">Развитие государственных информационных систем, предназначенных для работы с пространственными данными, картографическими материалами, результатами инженерных изысканий, находящихся в ведении министерства архитектуры и градостроительства Сахалинской области</w:t>
            </w:r>
          </w:p>
        </w:tc>
        <w:tc>
          <w:tcPr>
            <w:tcW w:w="1984" w:type="dxa"/>
          </w:tcPr>
          <w:p>
            <w:pPr>
              <w:pStyle w:val="0"/>
            </w:pPr>
            <w:r>
              <w:rPr>
                <w:sz w:val="20"/>
              </w:rPr>
              <w:t xml:space="preserve">Размещение необходимой информации для инвесторов о территории, на которой планируется строительство</w:t>
            </w:r>
          </w:p>
        </w:tc>
        <w:tc>
          <w:tcPr>
            <w:tcW w:w="1276" w:type="dxa"/>
          </w:tcPr>
          <w:p>
            <w:pPr>
              <w:pStyle w:val="0"/>
              <w:jc w:val="center"/>
            </w:pPr>
            <w:r>
              <w:rPr>
                <w:sz w:val="20"/>
              </w:rPr>
              <w:t xml:space="preserve">-</w:t>
            </w:r>
          </w:p>
        </w:tc>
        <w:tc>
          <w:tcPr>
            <w:tcW w:w="1701" w:type="dxa"/>
          </w:tcPr>
          <w:p>
            <w:pPr>
              <w:pStyle w:val="0"/>
            </w:pPr>
            <w:r>
              <w:rPr>
                <w:sz w:val="20"/>
              </w:rPr>
              <w:t xml:space="preserve">ГИС "Региональный портал пространственных данных Сахалинской области"</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3.1.</w:t>
            </w:r>
          </w:p>
        </w:tc>
        <w:tc>
          <w:tcPr>
            <w:vMerge w:val="continue"/>
          </w:tcPr>
          <w:p/>
        </w:tc>
        <w:tc>
          <w:tcPr>
            <w:tcW w:w="2154" w:type="dxa"/>
          </w:tcPr>
          <w:p>
            <w:pPr>
              <w:pStyle w:val="0"/>
            </w:pPr>
            <w:r>
              <w:rPr>
                <w:sz w:val="20"/>
              </w:rPr>
              <w:t xml:space="preserve">Создание цифровых ортофотопланов и 3D-моделей территорий перспективного развития и массовой застройки</w:t>
            </w:r>
          </w:p>
        </w:tc>
        <w:tc>
          <w:tcPr>
            <w:tcW w:w="1984" w:type="dxa"/>
          </w:tcPr>
          <w:p>
            <w:pPr>
              <w:pStyle w:val="0"/>
            </w:pPr>
            <w:r>
              <w:rPr>
                <w:sz w:val="20"/>
              </w:rPr>
              <w:t xml:space="preserve">Размещение необходимой информации для инвесторов о территориях, на которых планируется строительство с общей площадью покрытия:</w:t>
            </w:r>
          </w:p>
          <w:p>
            <w:pPr>
              <w:pStyle w:val="0"/>
            </w:pPr>
            <w:r>
              <w:rPr>
                <w:sz w:val="20"/>
              </w:rPr>
              <w:t xml:space="preserve">ортофотопланами</w:t>
            </w:r>
          </w:p>
          <w:p>
            <w:pPr>
              <w:pStyle w:val="0"/>
            </w:pPr>
            <w:r>
              <w:rPr>
                <w:sz w:val="20"/>
              </w:rPr>
              <w:t xml:space="preserve">до 31.12.2025 - не менее 1400 км</w:t>
            </w:r>
            <w:r>
              <w:rPr>
                <w:sz w:val="20"/>
                <w:vertAlign w:val="superscript"/>
              </w:rPr>
              <w:t xml:space="preserve">2</w:t>
            </w:r>
            <w:r>
              <w:rPr>
                <w:sz w:val="20"/>
              </w:rPr>
              <w:t xml:space="preserve">;</w:t>
            </w:r>
          </w:p>
          <w:p>
            <w:pPr>
              <w:pStyle w:val="0"/>
            </w:pPr>
            <w:r>
              <w:rPr>
                <w:sz w:val="20"/>
              </w:rPr>
              <w:t xml:space="preserve">до 31.12.2026 - не менее 1500 км</w:t>
            </w:r>
            <w:r>
              <w:rPr>
                <w:sz w:val="20"/>
                <w:vertAlign w:val="superscript"/>
              </w:rPr>
              <w:t xml:space="preserve">2</w:t>
            </w:r>
            <w:r>
              <w:rPr>
                <w:sz w:val="20"/>
              </w:rPr>
              <w:t xml:space="preserve">;</w:t>
            </w:r>
          </w:p>
          <w:p>
            <w:pPr>
              <w:pStyle w:val="0"/>
            </w:pPr>
            <w:r>
              <w:rPr>
                <w:sz w:val="20"/>
              </w:rPr>
              <w:t xml:space="preserve">до 31.12.2027 - не менее 1600 км</w:t>
            </w:r>
            <w:r>
              <w:rPr>
                <w:sz w:val="20"/>
                <w:vertAlign w:val="superscript"/>
              </w:rPr>
              <w:t xml:space="preserve">2</w:t>
            </w:r>
            <w:r>
              <w:rPr>
                <w:sz w:val="20"/>
              </w:rPr>
              <w:t xml:space="preserve">;</w:t>
            </w:r>
          </w:p>
          <w:p>
            <w:pPr>
              <w:pStyle w:val="0"/>
            </w:pPr>
            <w:r>
              <w:rPr>
                <w:sz w:val="20"/>
              </w:rPr>
              <w:t xml:space="preserve">до 31.12.2028 - не менее 1650 км</w:t>
            </w:r>
            <w:r>
              <w:rPr>
                <w:sz w:val="20"/>
                <w:vertAlign w:val="superscript"/>
              </w:rPr>
              <w:t xml:space="preserve">2</w:t>
            </w:r>
            <w:r>
              <w:rPr>
                <w:sz w:val="20"/>
              </w:rPr>
              <w:t xml:space="preserve">;</w:t>
            </w:r>
          </w:p>
          <w:p>
            <w:pPr>
              <w:pStyle w:val="0"/>
            </w:pPr>
            <w:r>
              <w:rPr>
                <w:sz w:val="20"/>
              </w:rPr>
              <w:t xml:space="preserve">до 31.12.2029 - не менее 1700 км</w:t>
            </w:r>
            <w:r>
              <w:rPr>
                <w:sz w:val="20"/>
                <w:vertAlign w:val="superscript"/>
              </w:rPr>
              <w:t xml:space="preserve">2</w:t>
            </w:r>
            <w:r>
              <w:rPr>
                <w:sz w:val="20"/>
              </w:rPr>
              <w:t xml:space="preserve">;</w:t>
            </w:r>
          </w:p>
          <w:p>
            <w:pPr>
              <w:pStyle w:val="0"/>
            </w:pPr>
            <w:r>
              <w:rPr>
                <w:sz w:val="20"/>
              </w:rPr>
              <w:t xml:space="preserve">3D-моделями</w:t>
            </w:r>
          </w:p>
          <w:p>
            <w:pPr>
              <w:pStyle w:val="0"/>
            </w:pPr>
            <w:r>
              <w:rPr>
                <w:sz w:val="20"/>
              </w:rPr>
              <w:t xml:space="preserve">до 31.12.2025 - не менее 700 км</w:t>
            </w:r>
            <w:r>
              <w:rPr>
                <w:sz w:val="20"/>
                <w:vertAlign w:val="superscript"/>
              </w:rPr>
              <w:t xml:space="preserve">2</w:t>
            </w:r>
            <w:r>
              <w:rPr>
                <w:sz w:val="20"/>
              </w:rPr>
              <w:t xml:space="preserve">;</w:t>
            </w:r>
          </w:p>
          <w:p>
            <w:pPr>
              <w:pStyle w:val="0"/>
            </w:pPr>
            <w:r>
              <w:rPr>
                <w:sz w:val="20"/>
              </w:rPr>
              <w:t xml:space="preserve">до 31.12.2026 - не менее 750 км</w:t>
            </w:r>
            <w:r>
              <w:rPr>
                <w:sz w:val="20"/>
                <w:vertAlign w:val="superscript"/>
              </w:rPr>
              <w:t xml:space="preserve">2</w:t>
            </w:r>
            <w:r>
              <w:rPr>
                <w:sz w:val="20"/>
              </w:rPr>
              <w:t xml:space="preserve">;</w:t>
            </w:r>
          </w:p>
          <w:p>
            <w:pPr>
              <w:pStyle w:val="0"/>
            </w:pPr>
            <w:r>
              <w:rPr>
                <w:sz w:val="20"/>
              </w:rPr>
              <w:t xml:space="preserve">до 31.12.2027 - не менее 800 км</w:t>
            </w:r>
            <w:r>
              <w:rPr>
                <w:sz w:val="20"/>
                <w:vertAlign w:val="superscript"/>
              </w:rPr>
              <w:t xml:space="preserve">2</w:t>
            </w:r>
          </w:p>
        </w:tc>
        <w:tc>
          <w:tcPr>
            <w:tcW w:w="1276" w:type="dxa"/>
          </w:tcPr>
          <w:p>
            <w:pPr>
              <w:pStyle w:val="0"/>
              <w:jc w:val="center"/>
            </w:pPr>
            <w:r>
              <w:rPr>
                <w:sz w:val="20"/>
              </w:rPr>
              <w:t xml:space="preserve">-</w:t>
            </w:r>
          </w:p>
        </w:tc>
        <w:tc>
          <w:tcPr>
            <w:tcW w:w="1701" w:type="dxa"/>
          </w:tcPr>
          <w:p>
            <w:pPr>
              <w:pStyle w:val="0"/>
            </w:pPr>
            <w:r>
              <w:rPr>
                <w:sz w:val="20"/>
              </w:rPr>
              <w:t xml:space="preserve">ГИС "Региональный портал пространственных данных Сахалинской области"</w:t>
            </w:r>
          </w:p>
        </w:tc>
        <w:tc>
          <w:tcPr>
            <w:tcW w:w="1276" w:type="dxa"/>
          </w:tcPr>
          <w:p>
            <w:pPr>
              <w:pStyle w:val="0"/>
              <w:jc w:val="center"/>
            </w:pPr>
            <w:r>
              <w:rPr>
                <w:sz w:val="20"/>
              </w:rPr>
              <w:t xml:space="preserve">До 31.12.2029</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3.2.</w:t>
            </w:r>
          </w:p>
        </w:tc>
        <w:tc>
          <w:tcPr>
            <w:vMerge w:val="continue"/>
          </w:tcPr>
          <w:p/>
        </w:tc>
        <w:tc>
          <w:tcPr>
            <w:tcW w:w="2154" w:type="dxa"/>
          </w:tcPr>
          <w:p>
            <w:pPr>
              <w:pStyle w:val="0"/>
            </w:pPr>
            <w:r>
              <w:rPr>
                <w:sz w:val="20"/>
              </w:rPr>
              <w:t xml:space="preserve">Создание публичного портала ГИС "Цифровой двойник градостроительной отрасли Сахалинской области" с отображением информации о территории для инвестора</w:t>
            </w:r>
          </w:p>
        </w:tc>
        <w:tc>
          <w:tcPr>
            <w:tcW w:w="1984" w:type="dxa"/>
          </w:tcPr>
          <w:p>
            <w:pPr>
              <w:pStyle w:val="0"/>
            </w:pPr>
            <w:r>
              <w:rPr>
                <w:sz w:val="20"/>
              </w:rPr>
              <w:t xml:space="preserve">Наличие доступа инвестора к актуальной информации о территории</w:t>
            </w:r>
          </w:p>
        </w:tc>
        <w:tc>
          <w:tcPr>
            <w:tcW w:w="1276" w:type="dxa"/>
          </w:tcPr>
          <w:p>
            <w:pPr>
              <w:pStyle w:val="0"/>
              <w:jc w:val="center"/>
            </w:pPr>
            <w:r>
              <w:rPr>
                <w:sz w:val="20"/>
              </w:rPr>
              <w:t xml:space="preserve">-</w:t>
            </w:r>
          </w:p>
        </w:tc>
        <w:tc>
          <w:tcPr>
            <w:tcW w:w="1701" w:type="dxa"/>
          </w:tcPr>
          <w:p>
            <w:pPr>
              <w:pStyle w:val="0"/>
            </w:pPr>
            <w:r>
              <w:rPr>
                <w:sz w:val="20"/>
              </w:rPr>
              <w:t xml:space="preserve">ГИС "Цифровой двойник градостроительной отрасли Сахалинской области"</w:t>
            </w:r>
          </w:p>
        </w:tc>
        <w:tc>
          <w:tcPr>
            <w:tcW w:w="1276" w:type="dxa"/>
          </w:tcPr>
          <w:p>
            <w:pPr>
              <w:pStyle w:val="0"/>
              <w:jc w:val="center"/>
            </w:pPr>
            <w:r>
              <w:rPr>
                <w:sz w:val="20"/>
              </w:rPr>
              <w:t xml:space="preserve">До 31.01.2028</w:t>
            </w:r>
          </w:p>
        </w:tc>
        <w:tc>
          <w:tcPr>
            <w:tcW w:w="1644" w:type="dxa"/>
          </w:tcPr>
          <w:p>
            <w:pPr>
              <w:pStyle w:val="0"/>
            </w:pPr>
            <w:r>
              <w:rPr>
                <w:sz w:val="20"/>
              </w:rPr>
              <w:t xml:space="preserve">Министерство архитектуры и градостроительства Сахалинской области</w:t>
            </w:r>
          </w:p>
        </w:tc>
      </w:tr>
      <w:tr>
        <w:tc>
          <w:tcPr>
            <w:tcW w:w="563" w:type="dxa"/>
          </w:tcPr>
          <w:p>
            <w:pPr>
              <w:pStyle w:val="0"/>
            </w:pPr>
            <w:r>
              <w:rPr>
                <w:sz w:val="20"/>
              </w:rPr>
              <w:t xml:space="preserve">4.</w:t>
            </w:r>
          </w:p>
        </w:tc>
        <w:tc>
          <w:tcPr>
            <w:tcW w:w="1644" w:type="dxa"/>
            <w:vMerge w:val="restart"/>
          </w:tcPr>
          <w:p>
            <w:pPr>
              <w:pStyle w:val="0"/>
            </w:pPr>
            <w:r>
              <w:rPr>
                <w:sz w:val="20"/>
              </w:rPr>
              <w:t xml:space="preserve">1.1.2 "Среднее количество процедур, необходимых для получения разрешения на строительство"</w:t>
            </w:r>
          </w:p>
        </w:tc>
        <w:tc>
          <w:tcPr>
            <w:tcW w:w="2154" w:type="dxa"/>
          </w:tcPr>
          <w:p>
            <w:pPr>
              <w:pStyle w:val="0"/>
            </w:pPr>
            <w:r>
              <w:rPr>
                <w:sz w:val="20"/>
              </w:rPr>
              <w:t xml:space="preserve">Обеспечение реализации принципа "одного окна" для заявителей при получении разрешения на строительство</w:t>
            </w:r>
          </w:p>
        </w:tc>
        <w:tc>
          <w:tcPr>
            <w:tcW w:w="1984" w:type="dxa"/>
          </w:tcPr>
          <w:p>
            <w:pPr>
              <w:pStyle w:val="0"/>
            </w:pPr>
            <w:r>
              <w:rPr>
                <w:sz w:val="20"/>
              </w:rPr>
              <w:t xml:space="preserve">Повышение качества предоставления муниципальной услуги</w:t>
            </w: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31.03.2026</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 министерство жилищно-коммунального хозяйства Сахалинской области, министерство энергетики Сахалинской области</w:t>
            </w:r>
          </w:p>
        </w:tc>
      </w:tr>
      <w:tr>
        <w:tc>
          <w:tcPr>
            <w:tcW w:w="563" w:type="dxa"/>
          </w:tcPr>
          <w:p>
            <w:pPr>
              <w:pStyle w:val="0"/>
            </w:pPr>
            <w:r>
              <w:rPr>
                <w:sz w:val="20"/>
              </w:rPr>
              <w:t xml:space="preserve">4.1.</w:t>
            </w:r>
          </w:p>
        </w:tc>
        <w:tc>
          <w:tcPr>
            <w:vMerge w:val="continue"/>
          </w:tcPr>
          <w:p/>
        </w:tc>
        <w:tc>
          <w:tcPr>
            <w:tcW w:w="2154" w:type="dxa"/>
          </w:tcPr>
          <w:p>
            <w:pPr>
              <w:pStyle w:val="0"/>
            </w:pPr>
            <w:r>
              <w:rPr>
                <w:sz w:val="20"/>
              </w:rPr>
              <w:t xml:space="preserve">Внедрение на базе ГИСОГД СО функционала предоставления информации ресурсоснабжающими организациями о возможности подключения объектов капитального строительства к сетям инженерно-технического обеспечения в рамках предоставления муниципальной услуги "Выдача градостроительных планов земельных участков"</w:t>
            </w:r>
          </w:p>
        </w:tc>
        <w:tc>
          <w:tcPr>
            <w:tcW w:w="1984" w:type="dxa"/>
          </w:tcPr>
          <w:p>
            <w:pPr>
              <w:pStyle w:val="0"/>
            </w:pPr>
            <w:r>
              <w:rPr>
                <w:sz w:val="20"/>
              </w:rPr>
              <w:t xml:space="preserve">Наличие возможности получения информации от ресурсоснабжающих организаций о точках подключения в рамках получения градостроительного плана земельного участка</w:t>
            </w:r>
          </w:p>
        </w:tc>
        <w:tc>
          <w:tcPr>
            <w:tcW w:w="1276" w:type="dxa"/>
          </w:tcPr>
          <w:p>
            <w:pPr>
              <w:pStyle w:val="0"/>
              <w:jc w:val="center"/>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До 31.03.2026</w:t>
            </w:r>
          </w:p>
        </w:tc>
        <w:tc>
          <w:tcPr>
            <w:tcW w:w="1644" w:type="dxa"/>
          </w:tcPr>
          <w:p>
            <w:pPr>
              <w:pStyle w:val="0"/>
            </w:pPr>
            <w:r>
              <w:rPr>
                <w:sz w:val="20"/>
              </w:rPr>
              <w:t xml:space="preserve">Министерство архитектуры и градостроительства Сахалинской области, муниципальные образования Сахалинской области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3</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448" w:name="P448"/>
    <w:bookmarkEnd w:id="448"/>
    <w:p>
      <w:pPr>
        <w:pStyle w:val="2"/>
        <w:jc w:val="center"/>
      </w:pPr>
      <w:r>
        <w:rPr>
          <w:sz w:val="20"/>
        </w:rPr>
        <w:t xml:space="preserve">ПЛАН МЕРОПРИЯТИЙ</w:t>
      </w:r>
    </w:p>
    <w:p>
      <w:pPr>
        <w:pStyle w:val="2"/>
        <w:jc w:val="center"/>
      </w:pPr>
      <w:r>
        <w:rPr>
          <w:sz w:val="20"/>
        </w:rPr>
        <w:t xml:space="preserve">("ДОРОЖНАЯ КАРТА") ПО ДОСТИЖЕНИЮ ЦЕЛЕВЫХ ЗНАЧЕНИЙ</w:t>
      </w:r>
    </w:p>
    <w:p>
      <w:pPr>
        <w:pStyle w:val="2"/>
        <w:jc w:val="center"/>
      </w:pPr>
      <w:r>
        <w:rPr>
          <w:sz w:val="20"/>
        </w:rPr>
        <w:t xml:space="preserve">КЛЮЧЕВЫХ ПОКАЗАТЕЛЕЙ ЭФФЕКТИВНОСТИ НАЦИОНАЛЬНОЙ МОДЕЛИ</w:t>
      </w:r>
    </w:p>
    <w:p>
      <w:pPr>
        <w:pStyle w:val="2"/>
        <w:jc w:val="center"/>
      </w:pPr>
      <w:r>
        <w:rPr>
          <w:sz w:val="20"/>
        </w:rPr>
        <w:t xml:space="preserve">ПО ФАКТОРУ "ЭФФЕКТИВНОСТЬ ПРОЦЕДУР ПО РЕГИСТРАЦИИ ПРАВ</w:t>
      </w:r>
    </w:p>
    <w:p>
      <w:pPr>
        <w:pStyle w:val="2"/>
        <w:jc w:val="center"/>
      </w:pPr>
      <w:r>
        <w:rPr>
          <w:sz w:val="20"/>
        </w:rPr>
        <w:t xml:space="preserve">СОБСТВЕННОСТИ"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1644"/>
        <w:gridCol w:w="1587"/>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1644" w:type="dxa"/>
          </w:tcPr>
          <w:p>
            <w:pPr>
              <w:pStyle w:val="0"/>
              <w:jc w:val="center"/>
            </w:pPr>
            <w:r>
              <w:rPr>
                <w:sz w:val="20"/>
              </w:rPr>
              <w:t xml:space="preserve">Наименование мероприятия</w:t>
            </w:r>
          </w:p>
        </w:tc>
        <w:tc>
          <w:tcPr>
            <w:tcW w:w="1587"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1644" w:type="dxa"/>
          </w:tcPr>
          <w:p>
            <w:pPr>
              <w:pStyle w:val="0"/>
              <w:jc w:val="center"/>
            </w:pPr>
            <w:r>
              <w:rPr>
                <w:sz w:val="20"/>
              </w:rPr>
              <w:t xml:space="preserve">3</w:t>
            </w:r>
          </w:p>
        </w:tc>
        <w:tc>
          <w:tcPr>
            <w:tcW w:w="1587"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1.3.1 "Среднее время регистрации прав собственности"</w:t>
            </w:r>
          </w:p>
        </w:tc>
        <w:tc>
          <w:tcPr>
            <w:tcW w:w="1644" w:type="dxa"/>
          </w:tcPr>
          <w:p>
            <w:pPr>
              <w:pStyle w:val="0"/>
            </w:pPr>
            <w:r>
              <w:rPr>
                <w:sz w:val="20"/>
              </w:rPr>
              <w:t xml:space="preserve">Анализ причин принятых решений о приостановлении и отказах осуществления государственной регистрации прав по заявлениям юридических лиц, индивидуальных предпринимателей</w:t>
            </w:r>
          </w:p>
        </w:tc>
        <w:tc>
          <w:tcPr>
            <w:tcW w:w="1587" w:type="dxa"/>
          </w:tcPr>
          <w:p>
            <w:pPr>
              <w:pStyle w:val="0"/>
            </w:pPr>
            <w:r>
              <w:rPr>
                <w:sz w:val="20"/>
              </w:rPr>
              <w:t xml:space="preserve">Выявление типовых ошибок, допускаемых заявителями при подготовке документов по регистрации права собственности</w:t>
            </w:r>
          </w:p>
        </w:tc>
        <w:tc>
          <w:tcPr>
            <w:tcW w:w="1276" w:type="dxa"/>
          </w:tcPr>
          <w:p>
            <w:pPr>
              <w:pStyle w:val="0"/>
            </w:pPr>
            <w:r>
              <w:rPr>
                <w:sz w:val="20"/>
              </w:rPr>
              <w:t xml:space="preserve">Перечень типовых ошибок, влияющих на увеличение сроков регистрации права собственности</w:t>
            </w:r>
          </w:p>
        </w:tc>
        <w:tc>
          <w:tcPr>
            <w:tcW w:w="1701" w:type="dxa"/>
          </w:tcPr>
          <w:p>
            <w:pPr>
              <w:pStyle w:val="0"/>
            </w:pPr>
            <w:r>
              <w:rPr>
                <w:sz w:val="20"/>
              </w:rPr>
              <w:t xml:space="preserve">ПК Федеральная государственная информационная система ведения Единого государственного реестра недвижимости (далее - ФГИС ЕГРН)</w:t>
            </w:r>
          </w:p>
        </w:tc>
        <w:tc>
          <w:tcPr>
            <w:tcW w:w="1276" w:type="dxa"/>
          </w:tcPr>
          <w:p>
            <w:pPr>
              <w:pStyle w:val="0"/>
              <w:jc w:val="center"/>
            </w:pPr>
            <w:r>
              <w:rPr>
                <w:sz w:val="20"/>
              </w:rPr>
              <w:t xml:space="preserve">Ежеквартально до 01.07.2030</w:t>
            </w:r>
          </w:p>
        </w:tc>
        <w:tc>
          <w:tcPr>
            <w:tcW w:w="1644" w:type="dxa"/>
          </w:tcPr>
          <w:p>
            <w:pPr>
              <w:pStyle w:val="0"/>
            </w:pPr>
            <w:r>
              <w:rPr>
                <w:sz w:val="20"/>
              </w:rPr>
              <w:t xml:space="preserve">Управление Росреестра по Сахалинской области (по согласованию)</w:t>
            </w:r>
          </w:p>
        </w:tc>
      </w:tr>
      <w:tr>
        <w:tc>
          <w:tcPr>
            <w:tcW w:w="563" w:type="dxa"/>
          </w:tcPr>
          <w:p>
            <w:pPr>
              <w:pStyle w:val="0"/>
            </w:pPr>
            <w:r>
              <w:rPr>
                <w:sz w:val="20"/>
              </w:rPr>
              <w:t xml:space="preserve">2.</w:t>
            </w:r>
          </w:p>
        </w:tc>
        <w:tc>
          <w:tcPr>
            <w:vMerge w:val="continue"/>
          </w:tcPr>
          <w:p/>
        </w:tc>
        <w:tc>
          <w:tcPr>
            <w:tcW w:w="1644" w:type="dxa"/>
          </w:tcPr>
          <w:p>
            <w:pPr>
              <w:pStyle w:val="0"/>
            </w:pPr>
            <w:r>
              <w:rPr>
                <w:sz w:val="20"/>
              </w:rPr>
              <w:t xml:space="preserve">Публикация материалов, содержащих разбор типовых ошибок заявителей при обращении с целью регистрации права собственности</w:t>
            </w:r>
          </w:p>
        </w:tc>
        <w:tc>
          <w:tcPr>
            <w:tcW w:w="1587" w:type="dxa"/>
          </w:tcPr>
          <w:p>
            <w:pPr>
              <w:pStyle w:val="0"/>
            </w:pPr>
            <w:r>
              <w:rPr>
                <w:sz w:val="20"/>
              </w:rPr>
              <w:t xml:space="preserve">Снижение времени регистрации прав собственности за счет повышения качества подаваемых документов</w:t>
            </w:r>
          </w:p>
        </w:tc>
        <w:tc>
          <w:tcPr>
            <w:tcW w:w="1276" w:type="dxa"/>
          </w:tcPr>
          <w:p>
            <w:pPr>
              <w:pStyle w:val="0"/>
            </w:pPr>
            <w:r>
              <w:rPr>
                <w:sz w:val="20"/>
              </w:rPr>
              <w:t xml:space="preserve">Информационное сообщение о типовых ошибках</w:t>
            </w:r>
          </w:p>
        </w:tc>
        <w:tc>
          <w:tcPr>
            <w:tcW w:w="1701" w:type="dxa"/>
          </w:tcPr>
          <w:p>
            <w:pPr>
              <w:pStyle w:val="0"/>
            </w:pPr>
            <w:r>
              <w:rPr>
                <w:sz w:val="20"/>
              </w:rPr>
              <w:t xml:space="preserve">Официальный сайт Управления Росреестра по Сахалинской области</w:t>
            </w:r>
          </w:p>
        </w:tc>
        <w:tc>
          <w:tcPr>
            <w:tcW w:w="1276" w:type="dxa"/>
          </w:tcPr>
          <w:p>
            <w:pPr>
              <w:pStyle w:val="0"/>
              <w:jc w:val="center"/>
            </w:pPr>
            <w:r>
              <w:rPr>
                <w:sz w:val="20"/>
              </w:rPr>
              <w:t xml:space="preserve">Ежеквартально до 01.07.2030</w:t>
            </w:r>
          </w:p>
        </w:tc>
        <w:tc>
          <w:tcPr>
            <w:tcW w:w="1644" w:type="dxa"/>
          </w:tcPr>
          <w:p>
            <w:pPr>
              <w:pStyle w:val="0"/>
            </w:pPr>
            <w:r>
              <w:rPr>
                <w:sz w:val="20"/>
              </w:rPr>
              <w:t xml:space="preserve">Управление Росреестра по Сахалинской области (по согласованию)</w:t>
            </w:r>
          </w:p>
        </w:tc>
      </w:tr>
      <w:tr>
        <w:tc>
          <w:tcPr>
            <w:tcW w:w="563" w:type="dxa"/>
          </w:tcPr>
          <w:p>
            <w:pPr>
              <w:pStyle w:val="0"/>
            </w:pPr>
            <w:r>
              <w:rPr>
                <w:sz w:val="20"/>
              </w:rPr>
              <w:t xml:space="preserve">3.</w:t>
            </w:r>
          </w:p>
        </w:tc>
        <w:tc>
          <w:tcPr>
            <w:tcW w:w="1644" w:type="dxa"/>
            <w:vMerge w:val="restart"/>
          </w:tcPr>
          <w:p>
            <w:pPr>
              <w:pStyle w:val="0"/>
            </w:pPr>
            <w:r>
              <w:rPr>
                <w:sz w:val="20"/>
              </w:rPr>
              <w:t xml:space="preserve">1.3.2 "Среднее количество процедур при регистрации прав собственности"</w:t>
            </w:r>
          </w:p>
        </w:tc>
        <w:tc>
          <w:tcPr>
            <w:tcW w:w="1644" w:type="dxa"/>
          </w:tcPr>
          <w:p>
            <w:pPr>
              <w:pStyle w:val="0"/>
            </w:pPr>
            <w:r>
              <w:rPr>
                <w:sz w:val="20"/>
              </w:rPr>
              <w:t xml:space="preserve">Контроль качества данных ФГИС ЕГРН, формируемых по результатам регистрации прав собственности, посредством осуществления выборочных проверок</w:t>
            </w:r>
          </w:p>
        </w:tc>
        <w:tc>
          <w:tcPr>
            <w:tcW w:w="1587" w:type="dxa"/>
          </w:tcPr>
          <w:p>
            <w:pPr>
              <w:pStyle w:val="0"/>
            </w:pPr>
            <w:r>
              <w:rPr>
                <w:sz w:val="20"/>
              </w:rPr>
              <w:t xml:space="preserve">Формирование полных и качественных выходных документов по результатам оказания услуги</w:t>
            </w:r>
          </w:p>
        </w:tc>
        <w:tc>
          <w:tcPr>
            <w:tcW w:w="1276" w:type="dxa"/>
          </w:tcPr>
          <w:p>
            <w:pPr>
              <w:pStyle w:val="0"/>
            </w:pPr>
            <w:r>
              <w:rPr>
                <w:sz w:val="20"/>
              </w:rPr>
              <w:t xml:space="preserve">Отчет</w:t>
            </w:r>
          </w:p>
        </w:tc>
        <w:tc>
          <w:tcPr>
            <w:tcW w:w="1701" w:type="dxa"/>
          </w:tcPr>
          <w:p>
            <w:pPr>
              <w:pStyle w:val="0"/>
            </w:pPr>
            <w:r>
              <w:rPr>
                <w:sz w:val="20"/>
              </w:rPr>
              <w:t xml:space="preserve">ФГИС ЕГРН</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Росреестра по Сахалинской области (по согласованию)</w:t>
            </w:r>
          </w:p>
        </w:tc>
      </w:tr>
      <w:tr>
        <w:tc>
          <w:tcPr>
            <w:tcW w:w="563" w:type="dxa"/>
          </w:tcPr>
          <w:p>
            <w:pPr>
              <w:pStyle w:val="0"/>
            </w:pPr>
            <w:r>
              <w:rPr>
                <w:sz w:val="20"/>
              </w:rPr>
              <w:t xml:space="preserve">4.</w:t>
            </w:r>
          </w:p>
        </w:tc>
        <w:tc>
          <w:tcPr>
            <w:vMerge w:val="continue"/>
          </w:tcPr>
          <w:p/>
        </w:tc>
        <w:tc>
          <w:tcPr>
            <w:tcW w:w="1644" w:type="dxa"/>
          </w:tcPr>
          <w:p>
            <w:pPr>
              <w:pStyle w:val="0"/>
            </w:pPr>
            <w:r>
              <w:rPr>
                <w:sz w:val="20"/>
              </w:rPr>
              <w:t xml:space="preserve">Консультирование предпринимателей по возникающим вопросам при подаче заявлений, в том числе в электронном виде</w:t>
            </w:r>
          </w:p>
        </w:tc>
        <w:tc>
          <w:tcPr>
            <w:tcW w:w="1587" w:type="dxa"/>
          </w:tcPr>
          <w:p>
            <w:pPr>
              <w:pStyle w:val="0"/>
            </w:pPr>
            <w:r>
              <w:rPr>
                <w:sz w:val="20"/>
              </w:rPr>
              <w:t xml:space="preserve">Повышение эффективности предоставления услуги путем снижения количества приостановлений и отказов</w:t>
            </w:r>
          </w:p>
        </w:tc>
        <w:tc>
          <w:tcPr>
            <w:tcW w:w="1276" w:type="dxa"/>
          </w:tcPr>
          <w:p>
            <w:pPr>
              <w:pStyle w:val="0"/>
              <w:jc w:val="center"/>
            </w:pPr>
            <w:r>
              <w:rPr>
                <w:sz w:val="20"/>
              </w:rPr>
              <w:t xml:space="preserve">-</w:t>
            </w:r>
          </w:p>
        </w:tc>
        <w:tc>
          <w:tcPr>
            <w:tcW w:w="1701" w:type="dxa"/>
          </w:tcPr>
          <w:p>
            <w:pPr>
              <w:pStyle w:val="0"/>
            </w:pPr>
            <w:r>
              <w:rPr>
                <w:sz w:val="20"/>
              </w:rPr>
              <w:t xml:space="preserve">Система оценки качества предоставления услуг для бизнеса в Сахалинской области</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Росреестра по Сахалинской области (по согласованию)</w:t>
            </w:r>
          </w:p>
        </w:tc>
      </w:tr>
      <w:tr>
        <w:tc>
          <w:tcPr>
            <w:tcW w:w="563" w:type="dxa"/>
          </w:tcPr>
          <w:p>
            <w:pPr>
              <w:pStyle w:val="0"/>
            </w:pPr>
            <w:r>
              <w:rPr>
                <w:sz w:val="20"/>
              </w:rPr>
              <w:t xml:space="preserve">5.</w:t>
            </w:r>
          </w:p>
        </w:tc>
        <w:tc>
          <w:tcPr>
            <w:vMerge w:val="continue"/>
          </w:tcPr>
          <w:p/>
        </w:tc>
        <w:tc>
          <w:tcPr>
            <w:tcW w:w="1644" w:type="dxa"/>
          </w:tcPr>
          <w:p>
            <w:pPr>
              <w:pStyle w:val="0"/>
            </w:pPr>
            <w:r>
              <w:rPr>
                <w:sz w:val="20"/>
              </w:rPr>
              <w:t xml:space="preserve">Проведение рабочих встреч с представителями предпринимательского сообщества по вопросам осуществления государственной регистрации права на недвижимое имущество</w:t>
            </w:r>
          </w:p>
        </w:tc>
        <w:tc>
          <w:tcPr>
            <w:tcW w:w="1587" w:type="dxa"/>
          </w:tcPr>
          <w:p>
            <w:pPr>
              <w:pStyle w:val="0"/>
            </w:pPr>
            <w:r>
              <w:rPr>
                <w:sz w:val="20"/>
              </w:rPr>
              <w:t xml:space="preserve">Представление полного и качественного комплекта документов</w:t>
            </w:r>
          </w:p>
        </w:tc>
        <w:tc>
          <w:tcPr>
            <w:tcW w:w="1276" w:type="dxa"/>
          </w:tcPr>
          <w:p>
            <w:pPr>
              <w:pStyle w:val="0"/>
            </w:pPr>
            <w:r>
              <w:rPr>
                <w:sz w:val="20"/>
              </w:rPr>
              <w:t xml:space="preserve">Протокол рабочей встречи</w:t>
            </w:r>
          </w:p>
        </w:tc>
        <w:tc>
          <w:tcPr>
            <w:tcW w:w="1701" w:type="dxa"/>
          </w:tcPr>
          <w:p>
            <w:pPr>
              <w:pStyle w:val="0"/>
            </w:pPr>
            <w:r>
              <w:rPr>
                <w:sz w:val="20"/>
              </w:rPr>
              <w:t xml:space="preserve">ФГИС ЕГРН</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Росреестра по Сахалинской области (по согласованию)</w:t>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4</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517" w:name="P517"/>
    <w:bookmarkEnd w:id="517"/>
    <w:p>
      <w:pPr>
        <w:pStyle w:val="2"/>
        <w:jc w:val="center"/>
      </w:pPr>
      <w:r>
        <w:rPr>
          <w:sz w:val="20"/>
        </w:rPr>
        <w:t xml:space="preserve">ПЛАН</w:t>
      </w:r>
    </w:p>
    <w:p>
      <w:pPr>
        <w:pStyle w:val="2"/>
        <w:jc w:val="center"/>
      </w:pPr>
      <w:r>
        <w:rPr>
          <w:sz w:val="20"/>
        </w:rPr>
        <w:t xml:space="preserve">МЕРОПРИЯТИЙ ("ДОРОЖНАЯ КАРТА")</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ПО ФАКТОРУ "ЭФФЕКТИВНОСТЬ</w:t>
      </w:r>
    </w:p>
    <w:p>
      <w:pPr>
        <w:pStyle w:val="2"/>
        <w:jc w:val="center"/>
      </w:pPr>
      <w:r>
        <w:rPr>
          <w:sz w:val="20"/>
        </w:rPr>
        <w:t xml:space="preserve">ПРОЦЕДУР ПОСТАНОВКИ ЗЕМЕЛЬНОГО УЧАСТКА НА КАДАСТРОВЫЙ УЧЕТ"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0"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14.11.2025 N 286-р)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2154"/>
        <w:gridCol w:w="1984"/>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2154" w:type="dxa"/>
          </w:tcPr>
          <w:p>
            <w:pPr>
              <w:pStyle w:val="0"/>
              <w:jc w:val="center"/>
            </w:pPr>
            <w:r>
              <w:rPr>
                <w:sz w:val="20"/>
              </w:rPr>
              <w:t xml:space="preserve">Наименование мероприятия</w:t>
            </w:r>
          </w:p>
        </w:tc>
        <w:tc>
          <w:tcPr>
            <w:tcW w:w="1984"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2154" w:type="dxa"/>
          </w:tcPr>
          <w:p>
            <w:pPr>
              <w:pStyle w:val="0"/>
              <w:jc w:val="center"/>
            </w:pPr>
            <w:r>
              <w:rPr>
                <w:sz w:val="20"/>
              </w:rPr>
              <w:t xml:space="preserve">3</w:t>
            </w:r>
          </w:p>
        </w:tc>
        <w:tc>
          <w:tcPr>
            <w:tcW w:w="1984"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1.4.1 "Среднее время постановки земельного участка на кадастровый учет"</w:t>
            </w:r>
          </w:p>
        </w:tc>
        <w:tc>
          <w:tcPr>
            <w:tcW w:w="2154" w:type="dxa"/>
          </w:tcPr>
          <w:p>
            <w:pPr>
              <w:pStyle w:val="0"/>
            </w:pPr>
            <w:r>
              <w:rPr>
                <w:sz w:val="20"/>
              </w:rPr>
              <w:t xml:space="preserve">Внесение изменений в административные регламенты органов местного самоуправления в части сокращения нормативных сроков оказания муниципальной услуги "Утверждение схемы расположения земельного участка или земельных участков на кадастровом плане территории" с 7 до 5 календарных дней</w:t>
            </w:r>
          </w:p>
        </w:tc>
        <w:tc>
          <w:tcPr>
            <w:tcW w:w="1984" w:type="dxa"/>
          </w:tcPr>
          <w:p>
            <w:pPr>
              <w:pStyle w:val="0"/>
            </w:pPr>
            <w:r>
              <w:rPr>
                <w:sz w:val="20"/>
              </w:rPr>
              <w:t xml:space="preserve">Сокращение срока постановки земельного участка на кадастровый учет</w:t>
            </w: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Официальный сайт муниципального образования</w:t>
            </w:r>
          </w:p>
        </w:tc>
        <w:tc>
          <w:tcPr>
            <w:tcW w:w="1276" w:type="dxa"/>
          </w:tcPr>
          <w:p>
            <w:pPr>
              <w:pStyle w:val="0"/>
              <w:jc w:val="center"/>
            </w:pPr>
            <w:r>
              <w:rPr>
                <w:sz w:val="20"/>
              </w:rPr>
              <w:t xml:space="preserve">До 01.07.2026</w:t>
            </w:r>
          </w:p>
        </w:tc>
        <w:tc>
          <w:tcPr>
            <w:tcW w:w="1644" w:type="dxa"/>
          </w:tcPr>
          <w:p>
            <w:pPr>
              <w:pStyle w:val="0"/>
            </w:pPr>
            <w:r>
              <w:rPr>
                <w:sz w:val="20"/>
              </w:rPr>
              <w:t xml:space="preserve">Муниципальные образования Сахалинской области, министерство имущественных и земельных отношений Сахалинской области</w:t>
            </w:r>
          </w:p>
        </w:tc>
      </w:tr>
      <w:tr>
        <w:tc>
          <w:tcPr>
            <w:tcW w:w="563" w:type="dxa"/>
          </w:tcPr>
          <w:p>
            <w:pPr>
              <w:pStyle w:val="0"/>
            </w:pPr>
            <w:r>
              <w:rPr>
                <w:sz w:val="20"/>
              </w:rPr>
              <w:t xml:space="preserve">2.</w:t>
            </w:r>
          </w:p>
        </w:tc>
        <w:tc>
          <w:tcPr>
            <w:vMerge w:val="continue"/>
          </w:tcPr>
          <w:p/>
        </w:tc>
        <w:tc>
          <w:tcPr>
            <w:tcW w:w="2154" w:type="dxa"/>
          </w:tcPr>
          <w:p>
            <w:pPr>
              <w:pStyle w:val="0"/>
            </w:pPr>
            <w:r>
              <w:rPr>
                <w:sz w:val="20"/>
              </w:rPr>
              <w:t xml:space="preserve">Внесение изменений в административные регламенты органов местного самоуправления в части сокращения нормативных сроков оказания муниципальных услуг с 25 до 7 календарных дней:</w:t>
            </w:r>
          </w:p>
          <w:p>
            <w:pPr>
              <w:pStyle w:val="0"/>
            </w:pPr>
            <w:r>
              <w:rPr>
                <w:sz w:val="20"/>
              </w:rPr>
              <w:t xml:space="preserve">- "Заключение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p>
            <w:pPr>
              <w:pStyle w:val="0"/>
            </w:pPr>
            <w:r>
              <w:rPr>
                <w:sz w:val="20"/>
              </w:rPr>
              <w:t xml:space="preserve">- "Предварительное согласование предоставления земельного участка"</w:t>
            </w:r>
          </w:p>
        </w:tc>
        <w:tc>
          <w:tcPr>
            <w:tcW w:w="1984" w:type="dxa"/>
          </w:tcPr>
          <w:p>
            <w:pPr>
              <w:pStyle w:val="0"/>
            </w:pPr>
            <w:r>
              <w:rPr>
                <w:sz w:val="20"/>
              </w:rPr>
              <w:t xml:space="preserve">Поэтапное сокращение срока оказания муниципальных услуг:</w:t>
            </w:r>
          </w:p>
          <w:p>
            <w:pPr>
              <w:pStyle w:val="0"/>
            </w:pPr>
            <w:r>
              <w:rPr>
                <w:sz w:val="20"/>
              </w:rPr>
              <w:t xml:space="preserve">до 31.12.2026 - не более 11 календарных дней;</w:t>
            </w:r>
          </w:p>
          <w:p>
            <w:pPr>
              <w:pStyle w:val="0"/>
            </w:pPr>
            <w:r>
              <w:rPr>
                <w:sz w:val="20"/>
              </w:rPr>
              <w:t xml:space="preserve">до 31.12.2029 - не более 7 календарных дней</w:t>
            </w: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Официальный сайт муниципального образования</w:t>
            </w:r>
          </w:p>
        </w:tc>
        <w:tc>
          <w:tcPr>
            <w:tcW w:w="1276" w:type="dxa"/>
          </w:tcPr>
          <w:p>
            <w:pPr>
              <w:pStyle w:val="0"/>
              <w:jc w:val="center"/>
            </w:pPr>
            <w:r>
              <w:rPr>
                <w:sz w:val="20"/>
              </w:rPr>
              <w:t xml:space="preserve">До 31.12.2029</w:t>
            </w:r>
          </w:p>
        </w:tc>
        <w:tc>
          <w:tcPr>
            <w:tcW w:w="1644" w:type="dxa"/>
          </w:tcPr>
          <w:p>
            <w:pPr>
              <w:pStyle w:val="0"/>
            </w:pPr>
            <w:r>
              <w:rPr>
                <w:sz w:val="20"/>
              </w:rPr>
              <w:t xml:space="preserve">Муниципальные образования Сахалинской области, министерство имущественных и земельных отношений Сахалинской области</w:t>
            </w:r>
          </w:p>
        </w:tc>
      </w:tr>
      <w:tr>
        <w:tc>
          <w:tcPr>
            <w:tcW w:w="563" w:type="dxa"/>
          </w:tcPr>
          <w:p>
            <w:pPr>
              <w:pStyle w:val="0"/>
            </w:pPr>
            <w:r>
              <w:rPr>
                <w:sz w:val="20"/>
              </w:rPr>
              <w:t xml:space="preserve">3.</w:t>
            </w:r>
          </w:p>
        </w:tc>
        <w:tc>
          <w:tcPr>
            <w:vMerge w:val="continue"/>
          </w:tcPr>
          <w:p/>
        </w:tc>
        <w:tc>
          <w:tcPr>
            <w:tcW w:w="2154" w:type="dxa"/>
          </w:tcPr>
          <w:p>
            <w:pPr>
              <w:pStyle w:val="0"/>
            </w:pPr>
            <w:r>
              <w:rPr>
                <w:sz w:val="20"/>
              </w:rPr>
              <w:t xml:space="preserve">Сбор и анализ данных органов местного самоуправления о маршрутизации прохождения заявителем административных процедур (действий)</w:t>
            </w:r>
          </w:p>
        </w:tc>
        <w:tc>
          <w:tcPr>
            <w:tcW w:w="1984" w:type="dxa"/>
          </w:tcPr>
          <w:p>
            <w:pPr>
              <w:pStyle w:val="0"/>
            </w:pPr>
            <w:r>
              <w:rPr>
                <w:sz w:val="20"/>
              </w:rPr>
              <w:t xml:space="preserve">Выявление факторов, негативно влияющих на сроки формирования и постановки земельного участка на кадастровый учет, и принятие мер оперативного реагирования</w:t>
            </w:r>
          </w:p>
        </w:tc>
        <w:tc>
          <w:tcPr>
            <w:tcW w:w="1276" w:type="dxa"/>
          </w:tcPr>
          <w:p>
            <w:pPr>
              <w:pStyle w:val="0"/>
            </w:pPr>
            <w:r>
              <w:rPr>
                <w:sz w:val="20"/>
              </w:rPr>
              <w:t xml:space="preserve">Аналитический отчет</w:t>
            </w:r>
          </w:p>
        </w:tc>
        <w:tc>
          <w:tcPr>
            <w:tcW w:w="1701" w:type="dxa"/>
          </w:tcPr>
          <w:p>
            <w:pPr>
              <w:pStyle w:val="0"/>
            </w:pPr>
            <w:r>
              <w:rPr>
                <w:sz w:val="20"/>
              </w:rPr>
              <w:t xml:space="preserve">Система оценки качества предоставления услуг для бизнеса в Сахалинской области</w:t>
            </w:r>
          </w:p>
        </w:tc>
        <w:tc>
          <w:tcPr>
            <w:tcW w:w="1276" w:type="dxa"/>
          </w:tcPr>
          <w:p>
            <w:pPr>
              <w:pStyle w:val="0"/>
              <w:jc w:val="center"/>
            </w:pPr>
            <w:r>
              <w:rPr>
                <w:sz w:val="20"/>
              </w:rPr>
              <w:t xml:space="preserve">Ежемесячно до 01.07.2030</w:t>
            </w:r>
          </w:p>
        </w:tc>
        <w:tc>
          <w:tcPr>
            <w:tcW w:w="1644" w:type="dxa"/>
          </w:tcPr>
          <w:p>
            <w:pPr>
              <w:pStyle w:val="0"/>
            </w:pPr>
            <w:r>
              <w:rPr>
                <w:sz w:val="20"/>
              </w:rPr>
              <w:t xml:space="preserve">Министерство имущественных и земельных отношений Сахалинской области</w:t>
            </w:r>
          </w:p>
        </w:tc>
      </w:tr>
      <w:tr>
        <w:tc>
          <w:tcPr>
            <w:tcW w:w="563" w:type="dxa"/>
          </w:tcPr>
          <w:p>
            <w:pPr>
              <w:pStyle w:val="0"/>
            </w:pPr>
            <w:r>
              <w:rPr>
                <w:sz w:val="20"/>
              </w:rPr>
              <w:t xml:space="preserve">4.</w:t>
            </w:r>
          </w:p>
        </w:tc>
        <w:tc>
          <w:tcPr>
            <w:vMerge w:val="continue"/>
          </w:tcPr>
          <w:p/>
        </w:tc>
        <w:tc>
          <w:tcPr>
            <w:tcW w:w="2154" w:type="dxa"/>
          </w:tcPr>
          <w:p>
            <w:pPr>
              <w:pStyle w:val="0"/>
            </w:pPr>
            <w:r>
              <w:rPr>
                <w:sz w:val="20"/>
              </w:rPr>
              <w:t xml:space="preserve">Подведение итогов работы по сокращению сроков постановки на кадастровый учет и (или) регистрации прав собственности, доведение до глав муниципальных образований</w:t>
            </w:r>
          </w:p>
        </w:tc>
        <w:tc>
          <w:tcPr>
            <w:tcW w:w="1984" w:type="dxa"/>
          </w:tcPr>
          <w:p>
            <w:pPr>
              <w:pStyle w:val="0"/>
            </w:pPr>
            <w:r>
              <w:rPr>
                <w:sz w:val="20"/>
              </w:rPr>
              <w:t xml:space="preserve">Совершенствование процедуры постановки земельного участка на кадастровый учет</w:t>
            </w:r>
          </w:p>
        </w:tc>
        <w:tc>
          <w:tcPr>
            <w:tcW w:w="1276" w:type="dxa"/>
          </w:tcPr>
          <w:p>
            <w:pPr>
              <w:pStyle w:val="0"/>
            </w:pPr>
            <w:r>
              <w:rPr>
                <w:sz w:val="20"/>
              </w:rPr>
              <w:t xml:space="preserve">Письмо в адрес глав муниципальных образований</w:t>
            </w:r>
          </w:p>
        </w:tc>
        <w:tc>
          <w:tcPr>
            <w:tcW w:w="1701" w:type="dxa"/>
          </w:tcPr>
          <w:p>
            <w:pPr>
              <w:pStyle w:val="0"/>
            </w:pPr>
            <w:r>
              <w:rPr>
                <w:sz w:val="20"/>
              </w:rPr>
              <w:t xml:space="preserve">Система электронного документооборота</w:t>
            </w:r>
          </w:p>
        </w:tc>
        <w:tc>
          <w:tcPr>
            <w:tcW w:w="1276" w:type="dxa"/>
          </w:tcPr>
          <w:p>
            <w:pPr>
              <w:pStyle w:val="0"/>
              <w:jc w:val="center"/>
            </w:pPr>
            <w:r>
              <w:rPr>
                <w:sz w:val="20"/>
              </w:rPr>
              <w:t xml:space="preserve">Ежегодно до 01.07.2030</w:t>
            </w:r>
          </w:p>
        </w:tc>
        <w:tc>
          <w:tcPr>
            <w:tcW w:w="1644" w:type="dxa"/>
          </w:tcPr>
          <w:p>
            <w:pPr>
              <w:pStyle w:val="0"/>
            </w:pPr>
            <w:r>
              <w:rPr>
                <w:sz w:val="20"/>
              </w:rPr>
              <w:t xml:space="preserve">Министерство имущественных и земельных отношений Сахалинской области</w:t>
            </w:r>
          </w:p>
        </w:tc>
      </w:tr>
      <w:tr>
        <w:tc>
          <w:tcPr>
            <w:tcW w:w="563" w:type="dxa"/>
          </w:tcPr>
          <w:p>
            <w:pPr>
              <w:pStyle w:val="0"/>
            </w:pPr>
            <w:r>
              <w:rPr>
                <w:sz w:val="20"/>
              </w:rPr>
              <w:t xml:space="preserve">5.</w:t>
            </w:r>
          </w:p>
        </w:tc>
        <w:tc>
          <w:tcPr>
            <w:tcW w:w="1644" w:type="dxa"/>
          </w:tcPr>
          <w:p>
            <w:pPr>
              <w:pStyle w:val="0"/>
            </w:pPr>
            <w:r>
              <w:rPr>
                <w:sz w:val="20"/>
              </w:rPr>
              <w:t xml:space="preserve">1.4.2 "Среднее количество процедур, необходимых для постановки земельного участка на кадастровый учет"</w:t>
            </w:r>
          </w:p>
        </w:tc>
        <w:tc>
          <w:tcPr>
            <w:tcW w:w="2154" w:type="dxa"/>
          </w:tcPr>
          <w:p>
            <w:pPr>
              <w:pStyle w:val="0"/>
            </w:pPr>
            <w:r>
              <w:rPr>
                <w:sz w:val="20"/>
              </w:rPr>
              <w:t xml:space="preserve">Разработка алгоритма прохождения процедуры постановки земельных участков на кадастровый учет (от момента обращения в орган местного самоуправления, подготовки межевого плана до осуществления учетных действий в Федеральной государственной информационной системе ведения Единого государственного реестра недвижимости), доведение до заявителей, органов местного самоуправления</w:t>
            </w:r>
          </w:p>
        </w:tc>
        <w:tc>
          <w:tcPr>
            <w:tcW w:w="1984" w:type="dxa"/>
          </w:tcPr>
          <w:p>
            <w:pPr>
              <w:pStyle w:val="0"/>
            </w:pPr>
            <w:r>
              <w:rPr>
                <w:sz w:val="20"/>
              </w:rPr>
              <w:t xml:space="preserve">Упрощение процедуры, необходимой для постановки земельного участка на кадастровый учет</w:t>
            </w:r>
          </w:p>
        </w:tc>
        <w:tc>
          <w:tcPr>
            <w:tcW w:w="1276" w:type="dxa"/>
          </w:tcPr>
          <w:p>
            <w:pPr>
              <w:pStyle w:val="0"/>
            </w:pPr>
            <w:r>
              <w:rPr>
                <w:sz w:val="20"/>
              </w:rPr>
              <w:t xml:space="preserve">Распоряжение министерства имущественных и земельных отношений Сахалинской области</w:t>
            </w:r>
          </w:p>
        </w:tc>
        <w:tc>
          <w:tcPr>
            <w:tcW w:w="1701" w:type="dxa"/>
          </w:tcPr>
          <w:p>
            <w:pPr>
              <w:pStyle w:val="0"/>
            </w:pPr>
            <w:r>
              <w:rPr>
                <w:sz w:val="20"/>
              </w:rPr>
              <w:t xml:space="preserve">Инвестиционный портал Сахалинской области</w:t>
            </w:r>
          </w:p>
        </w:tc>
        <w:tc>
          <w:tcPr>
            <w:tcW w:w="1276" w:type="dxa"/>
          </w:tcPr>
          <w:p>
            <w:pPr>
              <w:pStyle w:val="0"/>
              <w:jc w:val="center"/>
            </w:pPr>
            <w:r>
              <w:rPr>
                <w:sz w:val="20"/>
              </w:rPr>
              <w:t xml:space="preserve">До 01.07.2026</w:t>
            </w:r>
          </w:p>
        </w:tc>
        <w:tc>
          <w:tcPr>
            <w:tcW w:w="1644" w:type="dxa"/>
          </w:tcPr>
          <w:p>
            <w:pPr>
              <w:pStyle w:val="0"/>
            </w:pPr>
            <w:r>
              <w:rPr>
                <w:sz w:val="20"/>
              </w:rPr>
              <w:t xml:space="preserve">Министерство имущественных и земельных отношений Сахалинской области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5</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593" w:name="P593"/>
    <w:bookmarkEnd w:id="593"/>
    <w:p>
      <w:pPr>
        <w:pStyle w:val="2"/>
        <w:jc w:val="center"/>
      </w:pPr>
      <w:r>
        <w:rPr>
          <w:sz w:val="20"/>
        </w:rPr>
        <w:t xml:space="preserve">ПЛАН</w:t>
      </w:r>
    </w:p>
    <w:p>
      <w:pPr>
        <w:pStyle w:val="2"/>
        <w:jc w:val="center"/>
      </w:pPr>
      <w:r>
        <w:rPr>
          <w:sz w:val="20"/>
        </w:rPr>
        <w:t xml:space="preserve">МЕРОПРИЯТИЙ ("ДОРОЖНАЯ КАРТА")</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ПО ФАКТОРУ "ЭФФЕКТИВНОСТЬ</w:t>
      </w:r>
    </w:p>
    <w:p>
      <w:pPr>
        <w:pStyle w:val="2"/>
        <w:jc w:val="center"/>
      </w:pPr>
      <w:r>
        <w:rPr>
          <w:sz w:val="20"/>
        </w:rPr>
        <w:t xml:space="preserve">ПРОЦЕДУР ПО ПОЛУЧЕНИЮ В АРЕНДУ ЗЕМЕЛЬНЫХ УЧАСТКОВ"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1"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14.11.2025 N 286-р)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2154"/>
        <w:gridCol w:w="1984"/>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2154" w:type="dxa"/>
          </w:tcPr>
          <w:p>
            <w:pPr>
              <w:pStyle w:val="0"/>
              <w:jc w:val="center"/>
            </w:pPr>
            <w:r>
              <w:rPr>
                <w:sz w:val="20"/>
              </w:rPr>
              <w:t xml:space="preserve">Наименование мероприятия</w:t>
            </w:r>
          </w:p>
        </w:tc>
        <w:tc>
          <w:tcPr>
            <w:tcW w:w="1984"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2154" w:type="dxa"/>
          </w:tcPr>
          <w:p>
            <w:pPr>
              <w:pStyle w:val="0"/>
              <w:jc w:val="center"/>
            </w:pPr>
            <w:r>
              <w:rPr>
                <w:sz w:val="20"/>
              </w:rPr>
              <w:t xml:space="preserve">3</w:t>
            </w:r>
          </w:p>
        </w:tc>
        <w:tc>
          <w:tcPr>
            <w:tcW w:w="1984"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1.5.1 "Среднее время получения в аренду земельных участков (без проведения торгов)"</w:t>
            </w:r>
          </w:p>
        </w:tc>
        <w:tc>
          <w:tcPr>
            <w:tcW w:w="2154" w:type="dxa"/>
          </w:tcPr>
          <w:p>
            <w:pPr>
              <w:pStyle w:val="0"/>
            </w:pPr>
            <w:r>
              <w:rPr>
                <w:sz w:val="20"/>
              </w:rPr>
              <w:t xml:space="preserve">Внесение изменений в административные регламенты предоставления муниципальной услуги по получению в аренду земельных участков (без проведения торгов) в части сокращения нормативных сроков оказания муниципальной услуги с 20 до 10 календарных дней</w:t>
            </w:r>
          </w:p>
        </w:tc>
        <w:tc>
          <w:tcPr>
            <w:tcW w:w="1984" w:type="dxa"/>
          </w:tcPr>
          <w:p>
            <w:pPr>
              <w:pStyle w:val="0"/>
            </w:pPr>
            <w:r>
              <w:rPr>
                <w:sz w:val="20"/>
              </w:rPr>
              <w:t xml:space="preserve">Совершенствование процедуры получения в аренду земельных участков</w:t>
            </w: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Официальный сайт муниципального образования</w:t>
            </w:r>
          </w:p>
        </w:tc>
        <w:tc>
          <w:tcPr>
            <w:tcW w:w="1276" w:type="dxa"/>
          </w:tcPr>
          <w:p>
            <w:pPr>
              <w:pStyle w:val="0"/>
              <w:jc w:val="center"/>
            </w:pPr>
            <w:r>
              <w:rPr>
                <w:sz w:val="20"/>
              </w:rPr>
              <w:t xml:space="preserve">До 01.07.2026</w:t>
            </w:r>
          </w:p>
        </w:tc>
        <w:tc>
          <w:tcPr>
            <w:tcW w:w="1644" w:type="dxa"/>
          </w:tcPr>
          <w:p>
            <w:pPr>
              <w:pStyle w:val="0"/>
            </w:pPr>
            <w:r>
              <w:rPr>
                <w:sz w:val="20"/>
              </w:rPr>
              <w:t xml:space="preserve">Муниципальные образования Сахалинской области, министерство имущественных и земельных отношений Сахалинской области</w:t>
            </w:r>
          </w:p>
        </w:tc>
      </w:tr>
      <w:tr>
        <w:tc>
          <w:tcPr>
            <w:tcW w:w="563" w:type="dxa"/>
          </w:tcPr>
          <w:p>
            <w:pPr>
              <w:pStyle w:val="0"/>
            </w:pPr>
            <w:r>
              <w:rPr>
                <w:sz w:val="20"/>
              </w:rPr>
              <w:t xml:space="preserve">2.</w:t>
            </w:r>
          </w:p>
        </w:tc>
        <w:tc>
          <w:tcPr>
            <w:vMerge w:val="continue"/>
          </w:tcPr>
          <w:p/>
        </w:tc>
        <w:tc>
          <w:tcPr>
            <w:tcW w:w="2154" w:type="dxa"/>
          </w:tcPr>
          <w:p>
            <w:pPr>
              <w:pStyle w:val="0"/>
            </w:pPr>
            <w:r>
              <w:rPr>
                <w:sz w:val="20"/>
              </w:rPr>
              <w:t xml:space="preserve">Сбор и анализ данных органов местного самоуправления о маршрутизации прохождения заявителем административных процедур (действий)</w:t>
            </w:r>
          </w:p>
        </w:tc>
        <w:tc>
          <w:tcPr>
            <w:tcW w:w="1984" w:type="dxa"/>
          </w:tcPr>
          <w:p>
            <w:pPr>
              <w:pStyle w:val="0"/>
            </w:pPr>
            <w:r>
              <w:rPr>
                <w:sz w:val="20"/>
              </w:rPr>
              <w:t xml:space="preserve">Выявление факторов, негативно влияющих на сроки предоставления в аренду земельных участков (без проведения торгов), и принятие мер оперативного реагирования</w:t>
            </w:r>
          </w:p>
        </w:tc>
        <w:tc>
          <w:tcPr>
            <w:tcW w:w="1276" w:type="dxa"/>
          </w:tcPr>
          <w:p>
            <w:pPr>
              <w:pStyle w:val="0"/>
            </w:pPr>
            <w:r>
              <w:rPr>
                <w:sz w:val="20"/>
              </w:rPr>
              <w:t xml:space="preserve">Аналитический отчет</w:t>
            </w:r>
          </w:p>
        </w:tc>
        <w:tc>
          <w:tcPr>
            <w:tcW w:w="1701" w:type="dxa"/>
          </w:tcPr>
          <w:p>
            <w:pPr>
              <w:pStyle w:val="0"/>
            </w:pPr>
            <w:r>
              <w:rPr>
                <w:sz w:val="20"/>
              </w:rPr>
              <w:t xml:space="preserve">Система оценки качества предоставления услуг для бизнеса в Сахалинской области</w:t>
            </w:r>
          </w:p>
        </w:tc>
        <w:tc>
          <w:tcPr>
            <w:tcW w:w="1276" w:type="dxa"/>
          </w:tcPr>
          <w:p>
            <w:pPr>
              <w:pStyle w:val="0"/>
              <w:jc w:val="center"/>
            </w:pPr>
            <w:r>
              <w:rPr>
                <w:sz w:val="20"/>
              </w:rPr>
              <w:t xml:space="preserve">Ежемесячно до 01.07.2030</w:t>
            </w:r>
          </w:p>
        </w:tc>
        <w:tc>
          <w:tcPr>
            <w:tcW w:w="1644" w:type="dxa"/>
          </w:tcPr>
          <w:p>
            <w:pPr>
              <w:pStyle w:val="0"/>
            </w:pPr>
            <w:r>
              <w:rPr>
                <w:sz w:val="20"/>
              </w:rPr>
              <w:t xml:space="preserve">Министерство имущественных и земельных отношений Сахалинской области</w:t>
            </w:r>
          </w:p>
        </w:tc>
      </w:tr>
      <w:tr>
        <w:tc>
          <w:tcPr>
            <w:tcW w:w="563" w:type="dxa"/>
          </w:tcPr>
          <w:p>
            <w:pPr>
              <w:pStyle w:val="0"/>
            </w:pPr>
            <w:r>
              <w:rPr>
                <w:sz w:val="20"/>
              </w:rPr>
              <w:t xml:space="preserve">3.</w:t>
            </w:r>
          </w:p>
        </w:tc>
        <w:tc>
          <w:tcPr>
            <w:vMerge w:val="continue"/>
          </w:tcPr>
          <w:p/>
        </w:tc>
        <w:tc>
          <w:tcPr>
            <w:tcW w:w="2154" w:type="dxa"/>
          </w:tcPr>
          <w:p>
            <w:pPr>
              <w:pStyle w:val="0"/>
            </w:pPr>
            <w:r>
              <w:rPr>
                <w:sz w:val="20"/>
              </w:rPr>
              <w:t xml:space="preserve">Подведение итогов работы по сокращению сроков предоставления земельных участков в аренду (без проведения торгов), доведение информации о результатах работы до глав муниципальных образований</w:t>
            </w:r>
          </w:p>
        </w:tc>
        <w:tc>
          <w:tcPr>
            <w:tcW w:w="1984" w:type="dxa"/>
          </w:tcPr>
          <w:p>
            <w:pPr>
              <w:pStyle w:val="0"/>
            </w:pPr>
            <w:r>
              <w:rPr>
                <w:sz w:val="20"/>
              </w:rPr>
              <w:t xml:space="preserve">Совершенствование процедуры по предоставлению земельных участков в аренду (без проведения торгов)</w:t>
            </w:r>
          </w:p>
        </w:tc>
        <w:tc>
          <w:tcPr>
            <w:tcW w:w="1276" w:type="dxa"/>
          </w:tcPr>
          <w:p>
            <w:pPr>
              <w:pStyle w:val="0"/>
            </w:pPr>
            <w:r>
              <w:rPr>
                <w:sz w:val="20"/>
              </w:rPr>
              <w:t xml:space="preserve">Письмо в адрес глав муниципальных образований</w:t>
            </w:r>
          </w:p>
        </w:tc>
        <w:tc>
          <w:tcPr>
            <w:tcW w:w="1701" w:type="dxa"/>
          </w:tcPr>
          <w:p>
            <w:pPr>
              <w:pStyle w:val="0"/>
            </w:pPr>
            <w:r>
              <w:rPr>
                <w:sz w:val="20"/>
              </w:rPr>
              <w:t xml:space="preserve">Система электронного документооборота</w:t>
            </w:r>
          </w:p>
        </w:tc>
        <w:tc>
          <w:tcPr>
            <w:tcW w:w="1276" w:type="dxa"/>
          </w:tcPr>
          <w:p>
            <w:pPr>
              <w:pStyle w:val="0"/>
              <w:jc w:val="center"/>
            </w:pPr>
            <w:r>
              <w:rPr>
                <w:sz w:val="20"/>
              </w:rPr>
              <w:t xml:space="preserve">Ежегодно до 01.07.2030</w:t>
            </w:r>
          </w:p>
        </w:tc>
        <w:tc>
          <w:tcPr>
            <w:tcW w:w="1644" w:type="dxa"/>
          </w:tcPr>
          <w:p>
            <w:pPr>
              <w:pStyle w:val="0"/>
            </w:pPr>
            <w:r>
              <w:rPr>
                <w:sz w:val="20"/>
              </w:rPr>
              <w:t xml:space="preserve">Министерство имущественных и земельных отношений Сахалинской области</w:t>
            </w:r>
          </w:p>
        </w:tc>
      </w:tr>
      <w:tr>
        <w:tc>
          <w:tcPr>
            <w:tcW w:w="563" w:type="dxa"/>
          </w:tcPr>
          <w:p>
            <w:pPr>
              <w:pStyle w:val="0"/>
            </w:pPr>
            <w:r>
              <w:rPr>
                <w:sz w:val="20"/>
              </w:rPr>
              <w:t xml:space="preserve">4.</w:t>
            </w:r>
          </w:p>
        </w:tc>
        <w:tc>
          <w:tcPr>
            <w:tcW w:w="1644" w:type="dxa"/>
            <w:vMerge w:val="restart"/>
          </w:tcPr>
          <w:p>
            <w:pPr>
              <w:pStyle w:val="0"/>
            </w:pPr>
            <w:r>
              <w:rPr>
                <w:sz w:val="20"/>
              </w:rPr>
              <w:t xml:space="preserve">1.5.2 "Среднее количество процедур для получения в аренду земельных участков (без проведения торгов)"</w:t>
            </w:r>
          </w:p>
        </w:tc>
        <w:tc>
          <w:tcPr>
            <w:tcW w:w="2154" w:type="dxa"/>
          </w:tcPr>
          <w:p>
            <w:pPr>
              <w:pStyle w:val="0"/>
            </w:pPr>
            <w:r>
              <w:rPr>
                <w:sz w:val="20"/>
              </w:rPr>
              <w:t xml:space="preserve">Информирование предпринимателей о возможности и преимуществах подачи заявлений в электронном виде на оказание муниципальной услуги по получению в аренду земельных участков (без проведения торгов)</w:t>
            </w:r>
          </w:p>
        </w:tc>
        <w:tc>
          <w:tcPr>
            <w:tcW w:w="1984" w:type="dxa"/>
          </w:tcPr>
          <w:p>
            <w:pPr>
              <w:pStyle w:val="0"/>
            </w:pPr>
            <w:r>
              <w:rPr>
                <w:sz w:val="20"/>
              </w:rPr>
              <w:t xml:space="preserve">Перевод заявлений в электронный вид до 99% от общего количества</w:t>
            </w:r>
          </w:p>
        </w:tc>
        <w:tc>
          <w:tcPr>
            <w:tcW w:w="1276" w:type="dxa"/>
          </w:tcPr>
          <w:p>
            <w:pPr>
              <w:pStyle w:val="0"/>
            </w:pPr>
            <w:r>
              <w:rPr>
                <w:sz w:val="20"/>
              </w:rPr>
              <w:t xml:space="preserve">-</w:t>
            </w:r>
          </w:p>
        </w:tc>
        <w:tc>
          <w:tcPr>
            <w:tcW w:w="1701" w:type="dxa"/>
          </w:tcPr>
          <w:p>
            <w:pPr>
              <w:pStyle w:val="0"/>
            </w:pPr>
            <w:r>
              <w:rPr>
                <w:sz w:val="20"/>
              </w:rPr>
              <w:t xml:space="preserve">Государственная информационная система обеспечения градостроительной деятельности Сахалинской области (далее - ГИСОГД СО)</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Муниципальные образования Сахалинской области, министерство имущественных и земельных отношений Сахалинской области</w:t>
            </w:r>
          </w:p>
        </w:tc>
      </w:tr>
      <w:tr>
        <w:tc>
          <w:tcPr>
            <w:tcW w:w="563" w:type="dxa"/>
          </w:tcPr>
          <w:p>
            <w:pPr>
              <w:pStyle w:val="0"/>
            </w:pPr>
            <w:r>
              <w:rPr>
                <w:sz w:val="20"/>
              </w:rPr>
              <w:t xml:space="preserve">5.</w:t>
            </w:r>
          </w:p>
        </w:tc>
        <w:tc>
          <w:tcPr>
            <w:vMerge w:val="continue"/>
          </w:tcPr>
          <w:p/>
        </w:tc>
        <w:tc>
          <w:tcPr>
            <w:tcW w:w="2154" w:type="dxa"/>
          </w:tcPr>
          <w:p>
            <w:pPr>
              <w:pStyle w:val="0"/>
            </w:pPr>
            <w:r>
              <w:rPr>
                <w:sz w:val="20"/>
              </w:rPr>
              <w:t xml:space="preserve">Внесение изменений в алгоритм действий инвестора для получения земельного участка в аренду (без проведения торгов) в части оптимизации процесса, в том числе в связи с переходом на электронное взаимодействие</w:t>
            </w:r>
          </w:p>
        </w:tc>
        <w:tc>
          <w:tcPr>
            <w:tcW w:w="1984" w:type="dxa"/>
          </w:tcPr>
          <w:p>
            <w:pPr>
              <w:pStyle w:val="0"/>
            </w:pPr>
            <w:r>
              <w:rPr>
                <w:sz w:val="20"/>
              </w:rPr>
              <w:t xml:space="preserve">Сокращение количества процедур, необходимых для получения земельных участков в аренду, согласно целевым значениям показателей</w:t>
            </w:r>
          </w:p>
        </w:tc>
        <w:tc>
          <w:tcPr>
            <w:tcW w:w="1276" w:type="dxa"/>
          </w:tcPr>
          <w:p>
            <w:pPr>
              <w:pStyle w:val="0"/>
            </w:pPr>
            <w:r>
              <w:rPr>
                <w:sz w:val="20"/>
              </w:rPr>
              <w:t xml:space="preserve">Распоряжение министерства имущественных и земельных отношений Сахалинской области</w:t>
            </w:r>
          </w:p>
        </w:tc>
        <w:tc>
          <w:tcPr>
            <w:tcW w:w="1701" w:type="dxa"/>
          </w:tcPr>
          <w:p>
            <w:pPr>
              <w:pStyle w:val="0"/>
            </w:pPr>
            <w:r>
              <w:rPr>
                <w:sz w:val="20"/>
              </w:rPr>
              <w:t xml:space="preserve">Инвестиционный портал Сахалинской области</w:t>
            </w:r>
          </w:p>
        </w:tc>
        <w:tc>
          <w:tcPr>
            <w:tcW w:w="1276" w:type="dxa"/>
          </w:tcPr>
          <w:p>
            <w:pPr>
              <w:pStyle w:val="0"/>
              <w:jc w:val="center"/>
            </w:pPr>
            <w:r>
              <w:rPr>
                <w:sz w:val="20"/>
              </w:rPr>
              <w:t xml:space="preserve">До 01.07.2026</w:t>
            </w:r>
          </w:p>
        </w:tc>
        <w:tc>
          <w:tcPr>
            <w:tcW w:w="1644" w:type="dxa"/>
          </w:tcPr>
          <w:p>
            <w:pPr>
              <w:pStyle w:val="0"/>
            </w:pPr>
            <w:r>
              <w:rPr>
                <w:sz w:val="20"/>
              </w:rPr>
              <w:t xml:space="preserve">Министерство имущественных и земельных отношений Сахалинской области</w:t>
            </w:r>
          </w:p>
        </w:tc>
      </w:tr>
      <w:tr>
        <w:tc>
          <w:tcPr>
            <w:tcW w:w="563" w:type="dxa"/>
          </w:tcPr>
          <w:p>
            <w:pPr>
              <w:pStyle w:val="0"/>
            </w:pPr>
            <w:r>
              <w:rPr>
                <w:sz w:val="20"/>
              </w:rPr>
              <w:t xml:space="preserve">6.</w:t>
            </w:r>
          </w:p>
        </w:tc>
        <w:tc>
          <w:tcPr>
            <w:tcW w:w="1644" w:type="dxa"/>
            <w:vMerge w:val="restart"/>
          </w:tcPr>
          <w:p>
            <w:pPr>
              <w:pStyle w:val="0"/>
            </w:pPr>
            <w:r>
              <w:rPr>
                <w:sz w:val="20"/>
              </w:rPr>
              <w:t xml:space="preserve">1.5.4 "Среднее время получения в аренду земельных участков (с проведением торгов)"</w:t>
            </w:r>
          </w:p>
        </w:tc>
        <w:tc>
          <w:tcPr>
            <w:tcW w:w="2154" w:type="dxa"/>
          </w:tcPr>
          <w:p>
            <w:pPr>
              <w:pStyle w:val="0"/>
            </w:pPr>
            <w:r>
              <w:rPr>
                <w:sz w:val="20"/>
              </w:rPr>
              <w:t xml:space="preserve">Внесение изменений в административные регламенты предоставления муниципальной услуги на получение в аренду земельных участков (с проведением торгов) в части сокращения нормативных сроков с 60 до 30 календарных дней</w:t>
            </w:r>
          </w:p>
        </w:tc>
        <w:tc>
          <w:tcPr>
            <w:tcW w:w="1984" w:type="dxa"/>
          </w:tcPr>
          <w:p>
            <w:pPr>
              <w:pStyle w:val="0"/>
            </w:pPr>
            <w:r>
              <w:rPr>
                <w:sz w:val="20"/>
              </w:rPr>
              <w:t xml:space="preserve">Совершенствование процедуры получения в аренду земельных участков</w:t>
            </w: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Официальный сайт муниципального образования</w:t>
            </w:r>
          </w:p>
        </w:tc>
        <w:tc>
          <w:tcPr>
            <w:tcW w:w="1276" w:type="dxa"/>
          </w:tcPr>
          <w:p>
            <w:pPr>
              <w:pStyle w:val="0"/>
              <w:jc w:val="center"/>
            </w:pPr>
            <w:r>
              <w:rPr>
                <w:sz w:val="20"/>
              </w:rPr>
              <w:t xml:space="preserve">До 01.07.2026</w:t>
            </w:r>
          </w:p>
        </w:tc>
        <w:tc>
          <w:tcPr>
            <w:tcW w:w="1644" w:type="dxa"/>
          </w:tcPr>
          <w:p>
            <w:pPr>
              <w:pStyle w:val="0"/>
            </w:pPr>
            <w:r>
              <w:rPr>
                <w:sz w:val="20"/>
              </w:rPr>
              <w:t xml:space="preserve">Муниципальные образования Сахалинской области, министерство имущественных и земельных отношений Сахалинской области</w:t>
            </w:r>
          </w:p>
        </w:tc>
      </w:tr>
      <w:tr>
        <w:tc>
          <w:tcPr>
            <w:tcW w:w="563" w:type="dxa"/>
          </w:tcPr>
          <w:p>
            <w:pPr>
              <w:pStyle w:val="0"/>
            </w:pPr>
            <w:r>
              <w:rPr>
                <w:sz w:val="20"/>
              </w:rPr>
              <w:t xml:space="preserve">7.</w:t>
            </w:r>
          </w:p>
        </w:tc>
        <w:tc>
          <w:tcPr>
            <w:vMerge w:val="continue"/>
          </w:tcPr>
          <w:p/>
        </w:tc>
        <w:tc>
          <w:tcPr>
            <w:tcW w:w="2154" w:type="dxa"/>
          </w:tcPr>
          <w:p>
            <w:pPr>
              <w:pStyle w:val="0"/>
            </w:pPr>
            <w:r>
              <w:rPr>
                <w:sz w:val="20"/>
              </w:rPr>
              <w:t xml:space="preserve">Сбор и анализ данных органов местного самоуправления о маршрутизации прохождения заявителем административных процедур (действий)</w:t>
            </w:r>
          </w:p>
        </w:tc>
        <w:tc>
          <w:tcPr>
            <w:tcW w:w="1984" w:type="dxa"/>
          </w:tcPr>
          <w:p>
            <w:pPr>
              <w:pStyle w:val="0"/>
            </w:pPr>
            <w:r>
              <w:rPr>
                <w:sz w:val="20"/>
              </w:rPr>
              <w:t xml:space="preserve">Выявление факторов, негативно влияющих на сроки предоставления в аренду земельных участков (с проведением торгов), и принятие мер оперативного реагирования</w:t>
            </w:r>
          </w:p>
        </w:tc>
        <w:tc>
          <w:tcPr>
            <w:tcW w:w="1276" w:type="dxa"/>
          </w:tcPr>
          <w:p>
            <w:pPr>
              <w:pStyle w:val="0"/>
            </w:pPr>
            <w:r>
              <w:rPr>
                <w:sz w:val="20"/>
              </w:rPr>
              <w:t xml:space="preserve">Аналитический отчет</w:t>
            </w:r>
          </w:p>
        </w:tc>
        <w:tc>
          <w:tcPr>
            <w:tcW w:w="1701" w:type="dxa"/>
          </w:tcPr>
          <w:p>
            <w:pPr>
              <w:pStyle w:val="0"/>
            </w:pPr>
            <w:r>
              <w:rPr>
                <w:sz w:val="20"/>
              </w:rPr>
              <w:t xml:space="preserve">Система оценки качества предоставления услуг для бизнеса в Сахалинской области</w:t>
            </w:r>
          </w:p>
        </w:tc>
        <w:tc>
          <w:tcPr>
            <w:tcW w:w="1276" w:type="dxa"/>
          </w:tcPr>
          <w:p>
            <w:pPr>
              <w:pStyle w:val="0"/>
              <w:jc w:val="center"/>
            </w:pPr>
            <w:r>
              <w:rPr>
                <w:sz w:val="20"/>
              </w:rPr>
              <w:t xml:space="preserve">Ежемесячно до 01.07.2030</w:t>
            </w:r>
          </w:p>
        </w:tc>
        <w:tc>
          <w:tcPr>
            <w:tcW w:w="1644" w:type="dxa"/>
          </w:tcPr>
          <w:p>
            <w:pPr>
              <w:pStyle w:val="0"/>
            </w:pPr>
            <w:r>
              <w:rPr>
                <w:sz w:val="20"/>
              </w:rPr>
              <w:t xml:space="preserve">Министерство имущественных и земельных отношений Сахалинской области</w:t>
            </w:r>
          </w:p>
        </w:tc>
      </w:tr>
      <w:tr>
        <w:tc>
          <w:tcPr>
            <w:tcW w:w="563" w:type="dxa"/>
          </w:tcPr>
          <w:p>
            <w:pPr>
              <w:pStyle w:val="0"/>
            </w:pPr>
            <w:r>
              <w:rPr>
                <w:sz w:val="20"/>
              </w:rPr>
              <w:t xml:space="preserve">8.</w:t>
            </w:r>
          </w:p>
        </w:tc>
        <w:tc>
          <w:tcPr>
            <w:vMerge w:val="continue"/>
          </w:tcPr>
          <w:p/>
        </w:tc>
        <w:tc>
          <w:tcPr>
            <w:tcW w:w="2154" w:type="dxa"/>
          </w:tcPr>
          <w:p>
            <w:pPr>
              <w:pStyle w:val="0"/>
            </w:pPr>
            <w:r>
              <w:rPr>
                <w:sz w:val="20"/>
              </w:rPr>
              <w:t xml:space="preserve">Подведение итогов работы по сокращению сроков предоставления земельных участков в аренду, доведение информации о результатах работы до глав муниципальных образований</w:t>
            </w:r>
          </w:p>
        </w:tc>
        <w:tc>
          <w:tcPr>
            <w:tcW w:w="1984" w:type="dxa"/>
          </w:tcPr>
          <w:p>
            <w:pPr>
              <w:pStyle w:val="0"/>
            </w:pPr>
            <w:r>
              <w:rPr>
                <w:sz w:val="20"/>
              </w:rPr>
              <w:t xml:space="preserve">Совершенствование процедуры по предоставлению земельных участков в аренду (с проведением торгов)</w:t>
            </w:r>
          </w:p>
        </w:tc>
        <w:tc>
          <w:tcPr>
            <w:tcW w:w="1276" w:type="dxa"/>
          </w:tcPr>
          <w:p>
            <w:pPr>
              <w:pStyle w:val="0"/>
            </w:pPr>
            <w:r>
              <w:rPr>
                <w:sz w:val="20"/>
              </w:rPr>
              <w:t xml:space="preserve">Письмо в адрес глав муниципальных образований</w:t>
            </w:r>
          </w:p>
        </w:tc>
        <w:tc>
          <w:tcPr>
            <w:tcW w:w="1701" w:type="dxa"/>
          </w:tcPr>
          <w:p>
            <w:pPr>
              <w:pStyle w:val="0"/>
            </w:pPr>
            <w:r>
              <w:rPr>
                <w:sz w:val="20"/>
              </w:rPr>
              <w:t xml:space="preserve">Система электронного документооборота</w:t>
            </w:r>
          </w:p>
        </w:tc>
        <w:tc>
          <w:tcPr>
            <w:tcW w:w="1276" w:type="dxa"/>
          </w:tcPr>
          <w:p>
            <w:pPr>
              <w:pStyle w:val="0"/>
              <w:jc w:val="center"/>
            </w:pPr>
            <w:r>
              <w:rPr>
                <w:sz w:val="20"/>
              </w:rPr>
              <w:t xml:space="preserve">Ежегодно до 01.07.2030</w:t>
            </w:r>
          </w:p>
        </w:tc>
        <w:tc>
          <w:tcPr>
            <w:tcW w:w="1644" w:type="dxa"/>
          </w:tcPr>
          <w:p>
            <w:pPr>
              <w:pStyle w:val="0"/>
            </w:pPr>
            <w:r>
              <w:rPr>
                <w:sz w:val="20"/>
              </w:rPr>
              <w:t xml:space="preserve">Министерство имущественных и земельных отношений Сахалинской области</w:t>
            </w:r>
          </w:p>
        </w:tc>
      </w:tr>
      <w:tr>
        <w:tc>
          <w:tcPr>
            <w:tcW w:w="563" w:type="dxa"/>
          </w:tcPr>
          <w:p>
            <w:pPr>
              <w:pStyle w:val="0"/>
            </w:pPr>
            <w:r>
              <w:rPr>
                <w:sz w:val="20"/>
              </w:rPr>
              <w:t xml:space="preserve">9.</w:t>
            </w:r>
          </w:p>
        </w:tc>
        <w:tc>
          <w:tcPr>
            <w:tcW w:w="1644" w:type="dxa"/>
            <w:vMerge w:val="restart"/>
          </w:tcPr>
          <w:p>
            <w:pPr>
              <w:pStyle w:val="0"/>
            </w:pPr>
            <w:r>
              <w:rPr>
                <w:sz w:val="20"/>
              </w:rPr>
              <w:t xml:space="preserve">1.5.5 "Среднее количество процедур для получения в аренду земельных участков (с проведением торгов)"</w:t>
            </w:r>
          </w:p>
        </w:tc>
        <w:tc>
          <w:tcPr>
            <w:tcW w:w="2154" w:type="dxa"/>
          </w:tcPr>
          <w:p>
            <w:pPr>
              <w:pStyle w:val="0"/>
            </w:pPr>
            <w:r>
              <w:rPr>
                <w:sz w:val="20"/>
              </w:rPr>
              <w:t xml:space="preserve">Информирование предпринимателей о возможности и преимуществах подачи заявлений в электронном виде на оказание муниципальной услуги по получению в аренду земельных участков (с проведением торгов)</w:t>
            </w:r>
          </w:p>
        </w:tc>
        <w:tc>
          <w:tcPr>
            <w:tcW w:w="1984" w:type="dxa"/>
          </w:tcPr>
          <w:p>
            <w:pPr>
              <w:pStyle w:val="0"/>
            </w:pPr>
            <w:r>
              <w:rPr>
                <w:sz w:val="20"/>
              </w:rPr>
              <w:t xml:space="preserve">Перевод заявлений в электронный вид до 99% от общего количества</w:t>
            </w:r>
          </w:p>
        </w:tc>
        <w:tc>
          <w:tcPr>
            <w:tcW w:w="1276" w:type="dxa"/>
          </w:tcPr>
          <w:p>
            <w:pPr>
              <w:pStyle w:val="0"/>
            </w:pPr>
            <w:r>
              <w:rPr>
                <w:sz w:val="20"/>
              </w:rPr>
              <w:t xml:space="preserve">-</w:t>
            </w:r>
          </w:p>
        </w:tc>
        <w:tc>
          <w:tcPr>
            <w:tcW w:w="1701" w:type="dxa"/>
          </w:tcPr>
          <w:p>
            <w:pPr>
              <w:pStyle w:val="0"/>
            </w:pPr>
            <w:r>
              <w:rPr>
                <w:sz w:val="20"/>
              </w:rPr>
              <w:t xml:space="preserve">ГИСОГД СО</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Муниципальные образования Сахалинской области, министерство имущественных и земельных отношений Сахалинской области</w:t>
            </w:r>
          </w:p>
        </w:tc>
      </w:tr>
      <w:tr>
        <w:tc>
          <w:tcPr>
            <w:tcW w:w="563" w:type="dxa"/>
          </w:tcPr>
          <w:p>
            <w:pPr>
              <w:pStyle w:val="0"/>
            </w:pPr>
            <w:r>
              <w:rPr>
                <w:sz w:val="20"/>
              </w:rPr>
              <w:t xml:space="preserve">10.</w:t>
            </w:r>
          </w:p>
        </w:tc>
        <w:tc>
          <w:tcPr>
            <w:vMerge w:val="continue"/>
          </w:tcPr>
          <w:p/>
        </w:tc>
        <w:tc>
          <w:tcPr>
            <w:tcW w:w="2154" w:type="dxa"/>
          </w:tcPr>
          <w:p>
            <w:pPr>
              <w:pStyle w:val="0"/>
            </w:pPr>
            <w:r>
              <w:rPr>
                <w:sz w:val="20"/>
              </w:rPr>
              <w:t xml:space="preserve">Внесение изменений в алгоритм действий инвестора для получения земельного участка в аренду (с проведением торгов) в части оптимизации процесса, в том числе в связи с переходом на электронное взаимодействие</w:t>
            </w:r>
          </w:p>
        </w:tc>
        <w:tc>
          <w:tcPr>
            <w:tcW w:w="1984" w:type="dxa"/>
          </w:tcPr>
          <w:p>
            <w:pPr>
              <w:pStyle w:val="0"/>
            </w:pPr>
            <w:r>
              <w:rPr>
                <w:sz w:val="20"/>
              </w:rPr>
              <w:t xml:space="preserve">Сокращение количества процедур, необходимых для получения земельных участков в аренду, согласно целевым значениям показателей</w:t>
            </w:r>
          </w:p>
        </w:tc>
        <w:tc>
          <w:tcPr>
            <w:tcW w:w="1276" w:type="dxa"/>
          </w:tcPr>
          <w:p>
            <w:pPr>
              <w:pStyle w:val="0"/>
            </w:pPr>
            <w:r>
              <w:rPr>
                <w:sz w:val="20"/>
              </w:rPr>
              <w:t xml:space="preserve">Распоряжение министерства имущественных и земельных отношений Сахалинской области</w:t>
            </w:r>
          </w:p>
        </w:tc>
        <w:tc>
          <w:tcPr>
            <w:tcW w:w="1701" w:type="dxa"/>
          </w:tcPr>
          <w:p>
            <w:pPr>
              <w:pStyle w:val="0"/>
            </w:pPr>
            <w:r>
              <w:rPr>
                <w:sz w:val="20"/>
              </w:rPr>
              <w:t xml:space="preserve">Инвестиционный портал Сахалинской области</w:t>
            </w:r>
          </w:p>
        </w:tc>
        <w:tc>
          <w:tcPr>
            <w:tcW w:w="1276" w:type="dxa"/>
          </w:tcPr>
          <w:p>
            <w:pPr>
              <w:pStyle w:val="0"/>
              <w:jc w:val="center"/>
            </w:pPr>
            <w:r>
              <w:rPr>
                <w:sz w:val="20"/>
              </w:rPr>
              <w:t xml:space="preserve">До 01.07.2026</w:t>
            </w:r>
          </w:p>
        </w:tc>
        <w:tc>
          <w:tcPr>
            <w:tcW w:w="1644" w:type="dxa"/>
          </w:tcPr>
          <w:p>
            <w:pPr>
              <w:pStyle w:val="0"/>
            </w:pPr>
            <w:r>
              <w:rPr>
                <w:sz w:val="20"/>
              </w:rPr>
              <w:t xml:space="preserve">Министерство имущественных и земельных отношений Сахалинской области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6</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702" w:name="P702"/>
    <w:bookmarkEnd w:id="702"/>
    <w:p>
      <w:pPr>
        <w:pStyle w:val="2"/>
        <w:jc w:val="center"/>
      </w:pPr>
      <w:r>
        <w:rPr>
          <w:sz w:val="20"/>
        </w:rPr>
        <w:t xml:space="preserve">ПЛАН</w:t>
      </w:r>
    </w:p>
    <w:p>
      <w:pPr>
        <w:pStyle w:val="2"/>
        <w:jc w:val="center"/>
      </w:pPr>
      <w:r>
        <w:rPr>
          <w:sz w:val="20"/>
        </w:rPr>
        <w:t xml:space="preserve">МЕРОПРИЯТИЙ ("ДОРОЖНАЯ КАРТА")</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ПО ФАКТОРУ</w:t>
      </w:r>
    </w:p>
    <w:p>
      <w:pPr>
        <w:pStyle w:val="2"/>
        <w:jc w:val="center"/>
      </w:pPr>
      <w:r>
        <w:rPr>
          <w:sz w:val="20"/>
        </w:rPr>
        <w:t xml:space="preserve">"ЭФФЕКТИВНОСТЬ ПРОЦЕДУР ПО ПОДКЛЮЧЕНИЮ ЭЛЕКТРОЭНЕРГИИ"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2"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14.11.2025 N 286-р)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2154"/>
        <w:gridCol w:w="1984"/>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2154" w:type="dxa"/>
          </w:tcPr>
          <w:p>
            <w:pPr>
              <w:pStyle w:val="0"/>
              <w:jc w:val="center"/>
            </w:pPr>
            <w:r>
              <w:rPr>
                <w:sz w:val="20"/>
              </w:rPr>
              <w:t xml:space="preserve">Наименование мероприятия</w:t>
            </w:r>
          </w:p>
        </w:tc>
        <w:tc>
          <w:tcPr>
            <w:tcW w:w="1984"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2154" w:type="dxa"/>
          </w:tcPr>
          <w:p>
            <w:pPr>
              <w:pStyle w:val="0"/>
              <w:jc w:val="center"/>
            </w:pPr>
            <w:r>
              <w:rPr>
                <w:sz w:val="20"/>
              </w:rPr>
              <w:t xml:space="preserve">3</w:t>
            </w:r>
          </w:p>
        </w:tc>
        <w:tc>
          <w:tcPr>
            <w:tcW w:w="1984"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2.1.1 "Среднее время подключения к электросетям"</w:t>
            </w:r>
          </w:p>
        </w:tc>
        <w:tc>
          <w:tcPr>
            <w:tcW w:w="2154" w:type="dxa"/>
          </w:tcPr>
          <w:p>
            <w:pPr>
              <w:pStyle w:val="0"/>
            </w:pPr>
            <w:r>
              <w:rPr>
                <w:sz w:val="20"/>
              </w:rPr>
              <w:t xml:space="preserve">Перевод сетевых организаций, осуществляющих технологическое присоединение к электрическим сетям, на региональный портал Госуслуг</w:t>
            </w:r>
          </w:p>
        </w:tc>
        <w:tc>
          <w:tcPr>
            <w:tcW w:w="1984" w:type="dxa"/>
          </w:tcPr>
          <w:p>
            <w:pPr>
              <w:pStyle w:val="0"/>
            </w:pPr>
            <w:r>
              <w:rPr>
                <w:sz w:val="20"/>
              </w:rPr>
              <w:t xml:space="preserve">Доля сетевых организаций, подключенных к региональному порталу Госуслуг:</w:t>
            </w:r>
          </w:p>
          <w:p>
            <w:pPr>
              <w:pStyle w:val="0"/>
            </w:pPr>
            <w:r>
              <w:rPr>
                <w:sz w:val="20"/>
              </w:rPr>
              <w:t xml:space="preserve">до 31.12.2025 - не менее 80%;</w:t>
            </w:r>
          </w:p>
          <w:p>
            <w:pPr>
              <w:pStyle w:val="0"/>
            </w:pPr>
            <w:r>
              <w:rPr>
                <w:sz w:val="20"/>
              </w:rPr>
              <w:t xml:space="preserve">до 15.03.2026 - не менее 95%</w:t>
            </w:r>
          </w:p>
        </w:tc>
        <w:tc>
          <w:tcPr>
            <w:tcW w:w="1276" w:type="dxa"/>
          </w:tcPr>
          <w:p>
            <w:pPr>
              <w:pStyle w:val="0"/>
            </w:pPr>
            <w:r>
              <w:rPr>
                <w:sz w:val="20"/>
              </w:rPr>
              <w:t xml:space="preserve">Реестр зарегистрированных ресурсоснабжающих организаций</w:t>
            </w:r>
          </w:p>
        </w:tc>
        <w:tc>
          <w:tcPr>
            <w:tcW w:w="1701" w:type="dxa"/>
          </w:tcPr>
          <w:p>
            <w:pPr>
              <w:pStyle w:val="0"/>
            </w:pPr>
            <w:r>
              <w:rPr>
                <w:sz w:val="20"/>
              </w:rPr>
              <w:t xml:space="preserve">Сводная информация по всем сетевым организациям</w:t>
            </w:r>
          </w:p>
        </w:tc>
        <w:tc>
          <w:tcPr>
            <w:tcW w:w="1276" w:type="dxa"/>
          </w:tcPr>
          <w:p>
            <w:pPr>
              <w:pStyle w:val="0"/>
              <w:jc w:val="center"/>
            </w:pPr>
            <w:r>
              <w:rPr>
                <w:sz w:val="20"/>
              </w:rPr>
              <w:t xml:space="preserve">До 15.03.2026</w:t>
            </w:r>
          </w:p>
        </w:tc>
        <w:tc>
          <w:tcPr>
            <w:tcW w:w="1644" w:type="dxa"/>
          </w:tcPr>
          <w:p>
            <w:pPr>
              <w:pStyle w:val="0"/>
            </w:pPr>
            <w:r>
              <w:rPr>
                <w:sz w:val="20"/>
              </w:rPr>
              <w:t xml:space="preserve">Министерство энергетики Сахалинской области</w:t>
            </w:r>
          </w:p>
        </w:tc>
      </w:tr>
      <w:tr>
        <w:tc>
          <w:tcPr>
            <w:tcW w:w="563" w:type="dxa"/>
          </w:tcPr>
          <w:p>
            <w:pPr>
              <w:pStyle w:val="0"/>
            </w:pPr>
            <w:r>
              <w:rPr>
                <w:sz w:val="20"/>
              </w:rPr>
              <w:t xml:space="preserve">2.</w:t>
            </w:r>
          </w:p>
        </w:tc>
        <w:tc>
          <w:tcPr>
            <w:vMerge w:val="continue"/>
          </w:tcPr>
          <w:p/>
        </w:tc>
        <w:tc>
          <w:tcPr>
            <w:tcW w:w="2154" w:type="dxa"/>
          </w:tcPr>
          <w:p>
            <w:pPr>
              <w:pStyle w:val="0"/>
            </w:pPr>
            <w:r>
              <w:rPr>
                <w:sz w:val="20"/>
              </w:rPr>
              <w:t xml:space="preserve">Внесение изменений в административные регламенты предоставления муниципальной услуги по выдаче разрешения на использование земельного участка и иной разрешительной документации на выполнение работ в целях строительства (реконструкции) объектов электросетевого хозяйства в части сокращения срока с 10 до 5 рабочих дней</w:t>
            </w:r>
          </w:p>
        </w:tc>
        <w:tc>
          <w:tcPr>
            <w:tcW w:w="1984" w:type="dxa"/>
          </w:tcPr>
          <w:p>
            <w:pPr>
              <w:pStyle w:val="0"/>
            </w:pPr>
            <w:r>
              <w:rPr>
                <w:sz w:val="20"/>
              </w:rPr>
              <w:t xml:space="preserve">Внесены изменения в административные регламенты муниципальных образований:</w:t>
            </w:r>
          </w:p>
          <w:p>
            <w:pPr>
              <w:pStyle w:val="0"/>
            </w:pPr>
            <w:r>
              <w:rPr>
                <w:sz w:val="20"/>
              </w:rPr>
              <w:t xml:space="preserve">до 31.12.2026 - не менее 2;</w:t>
            </w:r>
          </w:p>
          <w:p>
            <w:pPr>
              <w:pStyle w:val="0"/>
            </w:pPr>
            <w:r>
              <w:rPr>
                <w:sz w:val="20"/>
              </w:rPr>
              <w:t xml:space="preserve">до 10.06.2027 - не менее 9;</w:t>
            </w:r>
          </w:p>
          <w:p>
            <w:pPr>
              <w:pStyle w:val="0"/>
            </w:pPr>
            <w:r>
              <w:rPr>
                <w:sz w:val="20"/>
              </w:rPr>
              <w:t xml:space="preserve">до 30.01.2028 - 18</w:t>
            </w: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Административный регламент</w:t>
            </w:r>
          </w:p>
        </w:tc>
        <w:tc>
          <w:tcPr>
            <w:tcW w:w="1276" w:type="dxa"/>
          </w:tcPr>
          <w:p>
            <w:pPr>
              <w:pStyle w:val="0"/>
              <w:jc w:val="center"/>
            </w:pPr>
            <w:r>
              <w:rPr>
                <w:sz w:val="20"/>
              </w:rPr>
              <w:t xml:space="preserve">До 30.01.2028</w:t>
            </w:r>
          </w:p>
        </w:tc>
        <w:tc>
          <w:tcPr>
            <w:tcW w:w="1644" w:type="dxa"/>
          </w:tcPr>
          <w:p>
            <w:pPr>
              <w:pStyle w:val="0"/>
            </w:pPr>
            <w:r>
              <w:rPr>
                <w:sz w:val="20"/>
              </w:rPr>
              <w:t xml:space="preserve">Министерство энергетики Сахалинской области, муниципальные образования Сахалинской области</w:t>
            </w:r>
          </w:p>
        </w:tc>
      </w:tr>
      <w:tr>
        <w:tc>
          <w:tcPr>
            <w:tcW w:w="563" w:type="dxa"/>
          </w:tcPr>
          <w:p>
            <w:pPr>
              <w:pStyle w:val="0"/>
            </w:pPr>
            <w:r>
              <w:rPr>
                <w:sz w:val="20"/>
              </w:rPr>
              <w:t xml:space="preserve">3.</w:t>
            </w:r>
          </w:p>
        </w:tc>
        <w:tc>
          <w:tcPr>
            <w:vMerge w:val="continue"/>
          </w:tcPr>
          <w:p/>
        </w:tc>
        <w:tc>
          <w:tcPr>
            <w:tcW w:w="2154" w:type="dxa"/>
          </w:tcPr>
          <w:p>
            <w:pPr>
              <w:pStyle w:val="0"/>
            </w:pPr>
            <w:r>
              <w:rPr>
                <w:sz w:val="20"/>
              </w:rPr>
              <w:t xml:space="preserve">Обеспечение доступа для сетевых и инфраструктурных организаций к информационной системе обеспечения градостроительной деятельности, в том числе к геоинформационной системе региона</w:t>
            </w:r>
          </w:p>
        </w:tc>
        <w:tc>
          <w:tcPr>
            <w:tcW w:w="1984" w:type="dxa"/>
          </w:tcPr>
          <w:p>
            <w:pPr>
              <w:pStyle w:val="0"/>
            </w:pPr>
            <w:r>
              <w:rPr>
                <w:sz w:val="20"/>
              </w:rPr>
              <w:t xml:space="preserve">Увеличение доли проектов строительства линейных объектов, выполненных с использованием сведений из информационной системы обеспечения градостроительной деятельности:</w:t>
            </w:r>
          </w:p>
          <w:p>
            <w:pPr>
              <w:pStyle w:val="0"/>
            </w:pPr>
            <w:r>
              <w:rPr>
                <w:sz w:val="20"/>
              </w:rPr>
              <w:t xml:space="preserve">до 31.12.2027 - не менее 50% от общего количества выполненных проектов.</w:t>
            </w:r>
          </w:p>
          <w:p>
            <w:pPr>
              <w:pStyle w:val="0"/>
            </w:pPr>
            <w:r>
              <w:rPr>
                <w:sz w:val="20"/>
              </w:rPr>
              <w:t xml:space="preserve">Доля сетевых организаций, подключенных к информационной системе:</w:t>
            </w:r>
          </w:p>
          <w:p>
            <w:pPr>
              <w:pStyle w:val="0"/>
            </w:pPr>
            <w:r>
              <w:rPr>
                <w:sz w:val="20"/>
              </w:rPr>
              <w:t xml:space="preserve">до 31.12.2026 - не менее 50%;</w:t>
            </w:r>
          </w:p>
          <w:p>
            <w:pPr>
              <w:pStyle w:val="0"/>
            </w:pPr>
            <w:r>
              <w:rPr>
                <w:sz w:val="20"/>
              </w:rPr>
              <w:t xml:space="preserve">до 31.12.2027 - не менее 90%</w:t>
            </w:r>
          </w:p>
        </w:tc>
        <w:tc>
          <w:tcPr>
            <w:tcW w:w="1276" w:type="dxa"/>
          </w:tcPr>
          <w:p>
            <w:pPr>
              <w:pStyle w:val="0"/>
            </w:pPr>
            <w:r>
              <w:rPr>
                <w:sz w:val="20"/>
              </w:rPr>
              <w:t xml:space="preserve">Регламент информационного взаимодействия</w:t>
            </w:r>
          </w:p>
        </w:tc>
        <w:tc>
          <w:tcPr>
            <w:tcW w:w="1701" w:type="dxa"/>
          </w:tcPr>
          <w:p>
            <w:pPr>
              <w:pStyle w:val="0"/>
            </w:pPr>
            <w:r>
              <w:rPr>
                <w:sz w:val="20"/>
              </w:rPr>
              <w:t xml:space="preserve">Государственная информационная система обеспечения градостроительной деятельности Сахалинской области (далее - ГИСОГД СО)</w:t>
            </w:r>
          </w:p>
        </w:tc>
        <w:tc>
          <w:tcPr>
            <w:tcW w:w="1276" w:type="dxa"/>
          </w:tcPr>
          <w:p>
            <w:pPr>
              <w:pStyle w:val="0"/>
              <w:jc w:val="center"/>
            </w:pPr>
            <w:r>
              <w:rPr>
                <w:sz w:val="20"/>
              </w:rPr>
              <w:t xml:space="preserve">До 31.12.2027</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4.</w:t>
            </w:r>
          </w:p>
        </w:tc>
        <w:tc>
          <w:tcPr>
            <w:vMerge w:val="continue"/>
          </w:tcPr>
          <w:p/>
        </w:tc>
        <w:tc>
          <w:tcPr>
            <w:tcW w:w="2154" w:type="dxa"/>
          </w:tcPr>
          <w:p>
            <w:pPr>
              <w:pStyle w:val="0"/>
            </w:pPr>
            <w:r>
              <w:rPr>
                <w:sz w:val="20"/>
              </w:rPr>
              <w:t xml:space="preserve">Размещение сведений, документов, материалов по существующим линейным объектам электросетевого хозяйства в информационной системе обеспечения градостроительной деятельности</w:t>
            </w:r>
          </w:p>
        </w:tc>
        <w:tc>
          <w:tcPr>
            <w:tcW w:w="1984" w:type="dxa"/>
          </w:tcPr>
          <w:p>
            <w:pPr>
              <w:pStyle w:val="0"/>
            </w:pPr>
            <w:r>
              <w:rPr>
                <w:sz w:val="20"/>
              </w:rPr>
              <w:t xml:space="preserve">Доля линейных объектов, размещенных в информационной системе обеспечения градостроительной деятельности:</w:t>
            </w:r>
          </w:p>
          <w:p>
            <w:pPr>
              <w:pStyle w:val="0"/>
            </w:pPr>
            <w:r>
              <w:rPr>
                <w:sz w:val="20"/>
              </w:rPr>
              <w:t xml:space="preserve">до 31.12.2026 - не менее 10%;</w:t>
            </w:r>
          </w:p>
          <w:p>
            <w:pPr>
              <w:pStyle w:val="0"/>
            </w:pPr>
            <w:r>
              <w:rPr>
                <w:sz w:val="20"/>
              </w:rPr>
              <w:t xml:space="preserve">до 31.12.2027 - не менее 20%;</w:t>
            </w:r>
          </w:p>
          <w:p>
            <w:pPr>
              <w:pStyle w:val="0"/>
            </w:pPr>
            <w:r>
              <w:rPr>
                <w:sz w:val="20"/>
              </w:rPr>
              <w:t xml:space="preserve">до 31.12.2028 - не менее 35%;</w:t>
            </w:r>
          </w:p>
          <w:p>
            <w:pPr>
              <w:pStyle w:val="0"/>
            </w:pPr>
            <w:r>
              <w:rPr>
                <w:sz w:val="20"/>
              </w:rPr>
              <w:t xml:space="preserve">до 31.12.2029 - не менее 50%;</w:t>
            </w:r>
          </w:p>
          <w:p>
            <w:pPr>
              <w:pStyle w:val="0"/>
            </w:pPr>
            <w:r>
              <w:rPr>
                <w:sz w:val="20"/>
              </w:rPr>
              <w:t xml:space="preserve">до 01.07.2030 - не менее 75%</w:t>
            </w:r>
          </w:p>
        </w:tc>
        <w:tc>
          <w:tcPr>
            <w:tcW w:w="1276" w:type="dxa"/>
          </w:tcPr>
          <w:p>
            <w:pPr>
              <w:pStyle w:val="0"/>
            </w:pPr>
            <w:r>
              <w:rPr>
                <w:sz w:val="20"/>
              </w:rPr>
              <w:t xml:space="preserve">Отчет</w:t>
            </w:r>
          </w:p>
        </w:tc>
        <w:tc>
          <w:tcPr>
            <w:tcW w:w="1701" w:type="dxa"/>
          </w:tcPr>
          <w:p>
            <w:pPr>
              <w:pStyle w:val="0"/>
            </w:pPr>
            <w:r>
              <w:rPr>
                <w:sz w:val="20"/>
              </w:rPr>
              <w:t xml:space="preserve">ГИСОГД СО</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w:t>
            </w:r>
          </w:p>
        </w:tc>
      </w:tr>
      <w:tr>
        <w:tc>
          <w:tcPr>
            <w:tcW w:w="563" w:type="dxa"/>
          </w:tcPr>
          <w:p>
            <w:pPr>
              <w:pStyle w:val="0"/>
            </w:pPr>
            <w:r>
              <w:rPr>
                <w:sz w:val="20"/>
              </w:rPr>
              <w:t xml:space="preserve">5.</w:t>
            </w:r>
          </w:p>
        </w:tc>
        <w:tc>
          <w:tcPr>
            <w:vMerge w:val="continue"/>
          </w:tcPr>
          <w:p/>
        </w:tc>
        <w:tc>
          <w:tcPr>
            <w:tcW w:w="2154" w:type="dxa"/>
          </w:tcPr>
          <w:p>
            <w:pPr>
              <w:pStyle w:val="0"/>
            </w:pPr>
            <w:r>
              <w:rPr>
                <w:sz w:val="20"/>
              </w:rPr>
              <w:t xml:space="preserve">Обеспечение подготовки проекта договора на продажу электрической энергии в электронной форме и его размещение в личном кабинете заявителя</w:t>
            </w:r>
          </w:p>
        </w:tc>
        <w:tc>
          <w:tcPr>
            <w:tcW w:w="1984" w:type="dxa"/>
          </w:tcPr>
          <w:p>
            <w:pPr>
              <w:pStyle w:val="0"/>
            </w:pPr>
            <w:r>
              <w:rPr>
                <w:sz w:val="20"/>
              </w:rPr>
              <w:t xml:space="preserve">Сокращение срока размещения проекта договора на продажу электрической энергии в личном кабинете - не более 2 рабочих дней</w:t>
            </w:r>
          </w:p>
        </w:tc>
        <w:tc>
          <w:tcPr>
            <w:tcW w:w="1276" w:type="dxa"/>
          </w:tcPr>
          <w:p>
            <w:pPr>
              <w:pStyle w:val="0"/>
            </w:pPr>
            <w:r>
              <w:rPr>
                <w:sz w:val="20"/>
              </w:rPr>
              <w:t xml:space="preserve">Отчет</w:t>
            </w:r>
          </w:p>
        </w:tc>
        <w:tc>
          <w:tcPr>
            <w:tcW w:w="1701" w:type="dxa"/>
          </w:tcPr>
          <w:p>
            <w:pPr>
              <w:pStyle w:val="0"/>
            </w:pPr>
            <w:r>
              <w:rPr>
                <w:sz w:val="20"/>
              </w:rPr>
              <w:t xml:space="preserve">Сайт гарантирующего поставщика</w:t>
            </w:r>
          </w:p>
        </w:tc>
        <w:tc>
          <w:tcPr>
            <w:tcW w:w="1276" w:type="dxa"/>
          </w:tcPr>
          <w:p>
            <w:pPr>
              <w:pStyle w:val="0"/>
              <w:jc w:val="center"/>
            </w:pPr>
            <w:r>
              <w:rPr>
                <w:sz w:val="20"/>
              </w:rPr>
              <w:t xml:space="preserve">До 01.07.2026</w:t>
            </w:r>
          </w:p>
        </w:tc>
        <w:tc>
          <w:tcPr>
            <w:tcW w:w="1644" w:type="dxa"/>
          </w:tcPr>
          <w:p>
            <w:pPr>
              <w:pStyle w:val="0"/>
            </w:pPr>
            <w:r>
              <w:rPr>
                <w:sz w:val="20"/>
              </w:rPr>
              <w:t xml:space="preserve">Министерство энергетики Сахалинской области</w:t>
            </w:r>
          </w:p>
        </w:tc>
      </w:tr>
      <w:tr>
        <w:tc>
          <w:tcPr>
            <w:tcW w:w="563" w:type="dxa"/>
          </w:tcPr>
          <w:p>
            <w:pPr>
              <w:pStyle w:val="0"/>
            </w:pPr>
            <w:r>
              <w:rPr>
                <w:sz w:val="20"/>
              </w:rPr>
              <w:t xml:space="preserve">6.</w:t>
            </w:r>
          </w:p>
        </w:tc>
        <w:tc>
          <w:tcPr>
            <w:vMerge w:val="continue"/>
          </w:tcPr>
          <w:p/>
        </w:tc>
        <w:tc>
          <w:tcPr>
            <w:tcW w:w="2154" w:type="dxa"/>
          </w:tcPr>
          <w:p>
            <w:pPr>
              <w:pStyle w:val="0"/>
            </w:pPr>
            <w:r>
              <w:rPr>
                <w:sz w:val="20"/>
              </w:rPr>
              <w:t xml:space="preserve">Выявление и внедрение лучших практик организации процесса технологического присоединения к электрическим сетям</w:t>
            </w:r>
          </w:p>
        </w:tc>
        <w:tc>
          <w:tcPr>
            <w:tcW w:w="1984" w:type="dxa"/>
          </w:tcPr>
          <w:p>
            <w:pPr>
              <w:pStyle w:val="0"/>
            </w:pPr>
            <w:r>
              <w:rPr>
                <w:sz w:val="20"/>
              </w:rPr>
              <w:t xml:space="preserve">Сокращение сроков технологического присоединения согласно целевым значениям показателя</w:t>
            </w:r>
          </w:p>
        </w:tc>
        <w:tc>
          <w:tcPr>
            <w:tcW w:w="1276" w:type="dxa"/>
          </w:tcPr>
          <w:p>
            <w:pPr>
              <w:pStyle w:val="0"/>
            </w:pPr>
            <w:r>
              <w:rPr>
                <w:sz w:val="20"/>
              </w:rPr>
              <w:t xml:space="preserve">Соглашение о взаимодействии</w:t>
            </w:r>
          </w:p>
        </w:tc>
        <w:tc>
          <w:tcPr>
            <w:tcW w:w="1701" w:type="dxa"/>
          </w:tcPr>
          <w:p>
            <w:pPr>
              <w:pStyle w:val="0"/>
            </w:pPr>
            <w:r>
              <w:rPr>
                <w:sz w:val="20"/>
              </w:rPr>
              <w:t xml:space="preserve">Система оценки качества предоставления услуг для бизнеса в Сахалинской области</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энергетики Сахалинской области</w:t>
            </w:r>
          </w:p>
        </w:tc>
      </w:tr>
      <w:tr>
        <w:tc>
          <w:tcPr>
            <w:tcW w:w="563" w:type="dxa"/>
          </w:tcPr>
          <w:p>
            <w:pPr>
              <w:pStyle w:val="0"/>
            </w:pPr>
            <w:r>
              <w:rPr>
                <w:sz w:val="20"/>
              </w:rPr>
              <w:t xml:space="preserve">7.</w:t>
            </w:r>
          </w:p>
        </w:tc>
        <w:tc>
          <w:tcPr>
            <w:tcW w:w="1644" w:type="dxa"/>
          </w:tcPr>
          <w:p>
            <w:pPr>
              <w:pStyle w:val="0"/>
            </w:pPr>
            <w:r>
              <w:rPr>
                <w:sz w:val="20"/>
              </w:rPr>
              <w:t xml:space="preserve">2.1.2 "Среднее количество процедур при подключении к электросетям"</w:t>
            </w:r>
          </w:p>
        </w:tc>
        <w:tc>
          <w:tcPr>
            <w:tcW w:w="2154" w:type="dxa"/>
          </w:tcPr>
          <w:p>
            <w:pPr>
              <w:pStyle w:val="0"/>
            </w:pPr>
            <w:r>
              <w:rPr>
                <w:sz w:val="20"/>
              </w:rPr>
              <w:t xml:space="preserve">Информирование предпринимателей о возможности и преимуществах подачи заявок на технологическое присоединение к электрическим сетям в электронном виде</w:t>
            </w:r>
          </w:p>
        </w:tc>
        <w:tc>
          <w:tcPr>
            <w:tcW w:w="1984" w:type="dxa"/>
          </w:tcPr>
          <w:p>
            <w:pPr>
              <w:pStyle w:val="0"/>
            </w:pPr>
            <w:r>
              <w:rPr>
                <w:sz w:val="20"/>
              </w:rPr>
              <w:t xml:space="preserve">Увеличение доли заявок на технологическое присоединение, поданных через личный кабинет на сайте сетевой организации, - не менее 95% от общего количества заявок</w:t>
            </w:r>
          </w:p>
        </w:tc>
        <w:tc>
          <w:tcPr>
            <w:tcW w:w="1276" w:type="dxa"/>
          </w:tcPr>
          <w:p>
            <w:pPr>
              <w:pStyle w:val="0"/>
              <w:jc w:val="center"/>
            </w:pPr>
            <w:r>
              <w:rPr>
                <w:sz w:val="20"/>
              </w:rPr>
              <w:t xml:space="preserve">-</w:t>
            </w:r>
          </w:p>
        </w:tc>
        <w:tc>
          <w:tcPr>
            <w:tcW w:w="1701" w:type="dxa"/>
          </w:tcPr>
          <w:p>
            <w:pPr>
              <w:pStyle w:val="0"/>
            </w:pPr>
            <w:r>
              <w:rPr>
                <w:sz w:val="20"/>
              </w:rPr>
              <w:t xml:space="preserve">Отчет сетевых организаций</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энергетики Сахалинской области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7</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802" w:name="P802"/>
    <w:bookmarkEnd w:id="802"/>
    <w:p>
      <w:pPr>
        <w:pStyle w:val="2"/>
        <w:jc w:val="center"/>
      </w:pPr>
      <w:r>
        <w:rPr>
          <w:sz w:val="20"/>
        </w:rPr>
        <w:t xml:space="preserve">ПЛАН</w:t>
      </w:r>
    </w:p>
    <w:p>
      <w:pPr>
        <w:pStyle w:val="2"/>
        <w:jc w:val="center"/>
      </w:pPr>
      <w:r>
        <w:rPr>
          <w:sz w:val="20"/>
        </w:rPr>
        <w:t xml:space="preserve">МЕРОПРИЯТИЙ ("ДОРОЖНАЯ КАРТА")</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ПО ФАКТОРУ</w:t>
      </w:r>
    </w:p>
    <w:p>
      <w:pPr>
        <w:pStyle w:val="2"/>
        <w:jc w:val="center"/>
      </w:pPr>
      <w:r>
        <w:rPr>
          <w:sz w:val="20"/>
        </w:rPr>
        <w:t xml:space="preserve">"ЭФФЕКТИВНОСТЬ ПРОЦЕДУР ПО ПОДКЛЮЧЕНИЮ К ГАЗОПРОВОДУ"</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3"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14.11.2025 N 286-р)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2154"/>
        <w:gridCol w:w="1984"/>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2154" w:type="dxa"/>
          </w:tcPr>
          <w:p>
            <w:pPr>
              <w:pStyle w:val="0"/>
              <w:jc w:val="center"/>
            </w:pPr>
            <w:r>
              <w:rPr>
                <w:sz w:val="20"/>
              </w:rPr>
              <w:t xml:space="preserve">Наименование мероприятия</w:t>
            </w:r>
          </w:p>
        </w:tc>
        <w:tc>
          <w:tcPr>
            <w:tcW w:w="1984"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2154" w:type="dxa"/>
          </w:tcPr>
          <w:p>
            <w:pPr>
              <w:pStyle w:val="0"/>
              <w:jc w:val="center"/>
            </w:pPr>
            <w:r>
              <w:rPr>
                <w:sz w:val="20"/>
              </w:rPr>
              <w:t xml:space="preserve">3</w:t>
            </w:r>
          </w:p>
        </w:tc>
        <w:tc>
          <w:tcPr>
            <w:tcW w:w="1984"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2.2.1 "Среднее время подключения к газопроводу"</w:t>
            </w:r>
          </w:p>
        </w:tc>
        <w:tc>
          <w:tcPr>
            <w:tcW w:w="2154" w:type="dxa"/>
          </w:tcPr>
          <w:p>
            <w:pPr>
              <w:pStyle w:val="0"/>
            </w:pPr>
            <w:r>
              <w:rPr>
                <w:sz w:val="20"/>
              </w:rPr>
              <w:t xml:space="preserve">Выявление факторов, влияющих на увеличение сроков по каждому этапу подключения к газопроводу, на заседаниях рабочей группы "Эффективность процедур по подключению энергоресурсов"</w:t>
            </w:r>
          </w:p>
        </w:tc>
        <w:tc>
          <w:tcPr>
            <w:tcW w:w="1984" w:type="dxa"/>
          </w:tcPr>
          <w:p>
            <w:pPr>
              <w:pStyle w:val="0"/>
            </w:pPr>
            <w:r>
              <w:rPr>
                <w:sz w:val="20"/>
              </w:rPr>
              <w:t xml:space="preserve">Решение проблемных вопросов на ранней стадии технологического присоединения к газораспределительным сетям</w:t>
            </w:r>
          </w:p>
        </w:tc>
        <w:tc>
          <w:tcPr>
            <w:tcW w:w="1276" w:type="dxa"/>
          </w:tcPr>
          <w:p>
            <w:pPr>
              <w:pStyle w:val="0"/>
            </w:pPr>
            <w:r>
              <w:rPr>
                <w:sz w:val="20"/>
              </w:rPr>
              <w:t xml:space="preserve">Протокол заседания рабочей группы</w:t>
            </w:r>
          </w:p>
        </w:tc>
        <w:tc>
          <w:tcPr>
            <w:tcW w:w="1701" w:type="dxa"/>
          </w:tcPr>
          <w:p>
            <w:pPr>
              <w:pStyle w:val="0"/>
            </w:pPr>
            <w:r>
              <w:rPr>
                <w:sz w:val="20"/>
              </w:rPr>
              <w:t xml:space="preserve">Инвестиционный портал Сахалинской области</w:t>
            </w:r>
          </w:p>
        </w:tc>
        <w:tc>
          <w:tcPr>
            <w:tcW w:w="1276" w:type="dxa"/>
          </w:tcPr>
          <w:p>
            <w:pPr>
              <w:pStyle w:val="0"/>
              <w:jc w:val="center"/>
            </w:pPr>
            <w:r>
              <w:rPr>
                <w:sz w:val="20"/>
              </w:rPr>
              <w:t xml:space="preserve">Ежемесячно до 01.07.2030</w:t>
            </w:r>
          </w:p>
        </w:tc>
        <w:tc>
          <w:tcPr>
            <w:tcW w:w="1644" w:type="dxa"/>
          </w:tcPr>
          <w:p>
            <w:pPr>
              <w:pStyle w:val="0"/>
            </w:pPr>
            <w:r>
              <w:rPr>
                <w:sz w:val="20"/>
              </w:rPr>
              <w:t xml:space="preserve">Министерство энергетики Сахалинской области</w:t>
            </w:r>
          </w:p>
        </w:tc>
      </w:tr>
      <w:tr>
        <w:tc>
          <w:tcPr>
            <w:tcW w:w="563" w:type="dxa"/>
          </w:tcPr>
          <w:p>
            <w:pPr>
              <w:pStyle w:val="0"/>
            </w:pPr>
            <w:r>
              <w:rPr>
                <w:sz w:val="20"/>
              </w:rPr>
              <w:t xml:space="preserve">2.</w:t>
            </w:r>
          </w:p>
        </w:tc>
        <w:tc>
          <w:tcPr>
            <w:vMerge w:val="continue"/>
          </w:tcPr>
          <w:p/>
        </w:tc>
        <w:tc>
          <w:tcPr>
            <w:tcW w:w="2154" w:type="dxa"/>
          </w:tcPr>
          <w:p>
            <w:pPr>
              <w:pStyle w:val="0"/>
            </w:pPr>
            <w:r>
              <w:rPr>
                <w:sz w:val="20"/>
              </w:rPr>
              <w:t xml:space="preserve">Разработка и внедрение электронного сервиса по согласованию топографической карты (плана) для прокладки газопровода (топосъемка) в электронном виде в информационной системе обеспечения градостроительной деятельности</w:t>
            </w:r>
          </w:p>
        </w:tc>
        <w:tc>
          <w:tcPr>
            <w:tcW w:w="1984" w:type="dxa"/>
            <w:vMerge w:val="restart"/>
          </w:tcPr>
          <w:p>
            <w:pPr>
              <w:pStyle w:val="0"/>
            </w:pPr>
            <w:r>
              <w:rPr>
                <w:sz w:val="20"/>
              </w:rPr>
              <w:t xml:space="preserve">Сокращение сроков подготовки документов заявителями при получении услуги технологического присоединения к газораспределительным сетям</w:t>
            </w: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Государственная информационная система обеспечения градостроительной деятельности Сахалинской области (далее - ГИСОГД СО)</w:t>
            </w:r>
          </w:p>
        </w:tc>
        <w:tc>
          <w:tcPr>
            <w:tcW w:w="1276" w:type="dxa"/>
          </w:tcPr>
          <w:p>
            <w:pPr>
              <w:pStyle w:val="0"/>
              <w:jc w:val="center"/>
            </w:pPr>
            <w:r>
              <w:rPr>
                <w:sz w:val="20"/>
              </w:rPr>
              <w:t xml:space="preserve">До 01.07.2026</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 муниципальные образования Сахалинской области</w:t>
            </w:r>
          </w:p>
        </w:tc>
      </w:tr>
      <w:tr>
        <w:tc>
          <w:tcPr>
            <w:tcW w:w="563" w:type="dxa"/>
          </w:tcPr>
          <w:bookmarkStart w:id="842" w:name="P842"/>
          <w:bookmarkEnd w:id="842"/>
          <w:p>
            <w:pPr>
              <w:pStyle w:val="0"/>
            </w:pPr>
            <w:r>
              <w:rPr>
                <w:sz w:val="20"/>
              </w:rPr>
              <w:t xml:space="preserve">2.1.</w:t>
            </w:r>
          </w:p>
        </w:tc>
        <w:tc>
          <w:tcPr>
            <w:vMerge w:val="continue"/>
          </w:tcPr>
          <w:p/>
        </w:tc>
        <w:tc>
          <w:tcPr>
            <w:tcW w:w="2154" w:type="dxa"/>
          </w:tcPr>
          <w:p>
            <w:pPr>
              <w:pStyle w:val="0"/>
            </w:pPr>
            <w:r>
              <w:rPr>
                <w:sz w:val="20"/>
              </w:rPr>
              <w:t xml:space="preserve">Разработка и согласование администрацией Корсаковского муниципального округа Сахалинской области положения о проведении процедур электронного согласования топографической карты земельного участка с целью подачи заявки на технологическое подключение в электронном виде</w:t>
            </w:r>
          </w:p>
        </w:tc>
        <w:tc>
          <w:tcPr>
            <w:vMerge w:val="continue"/>
          </w:tcP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Положение администрации Корсаковского муниципального округа Сахалинской области</w:t>
            </w:r>
          </w:p>
        </w:tc>
        <w:tc>
          <w:tcPr>
            <w:tcW w:w="1276" w:type="dxa"/>
          </w:tcPr>
          <w:p>
            <w:pPr>
              <w:pStyle w:val="0"/>
              <w:jc w:val="center"/>
            </w:pPr>
            <w:r>
              <w:rPr>
                <w:sz w:val="20"/>
              </w:rPr>
              <w:t xml:space="preserve">До 15.10.2025</w:t>
            </w:r>
          </w:p>
        </w:tc>
        <w:tc>
          <w:tcPr>
            <w:tcW w:w="1644" w:type="dxa"/>
          </w:tcPr>
          <w:p>
            <w:pPr>
              <w:pStyle w:val="0"/>
            </w:pPr>
            <w:r>
              <w:rPr>
                <w:sz w:val="20"/>
              </w:rPr>
              <w:t xml:space="preserve">Министерство энергетики Сахалинской области, Корсаковский муниципальный округ Сахалинской области</w:t>
            </w:r>
          </w:p>
        </w:tc>
      </w:tr>
      <w:tr>
        <w:tc>
          <w:tcPr>
            <w:tcW w:w="563" w:type="dxa"/>
          </w:tcPr>
          <w:bookmarkStart w:id="848" w:name="P848"/>
          <w:bookmarkEnd w:id="848"/>
          <w:p>
            <w:pPr>
              <w:pStyle w:val="0"/>
            </w:pPr>
            <w:r>
              <w:rPr>
                <w:sz w:val="20"/>
              </w:rPr>
              <w:t xml:space="preserve">2.2.</w:t>
            </w:r>
          </w:p>
        </w:tc>
        <w:tc>
          <w:tcPr>
            <w:vMerge w:val="continue"/>
          </w:tcPr>
          <w:p/>
        </w:tc>
        <w:tc>
          <w:tcPr>
            <w:tcW w:w="2154" w:type="dxa"/>
          </w:tcPr>
          <w:p>
            <w:pPr>
              <w:pStyle w:val="0"/>
            </w:pPr>
            <w:r>
              <w:rPr>
                <w:sz w:val="20"/>
              </w:rPr>
              <w:t xml:space="preserve">Заключение соглашений об информационном взаимодействии между министерством архитектуры и градостроительства Сахалинской области, министерством энергетики Сахалинской области, администрацией Корсаковского муниципального округа Сахалинской области и ресурсоснабжающими организациями, ведущими деятельность на территории Корсаковского муниципального округа Сахалинской области</w:t>
            </w:r>
          </w:p>
        </w:tc>
        <w:tc>
          <w:tcPr>
            <w:vMerge w:val="continue"/>
          </w:tcPr>
          <w:p/>
        </w:tc>
        <w:tc>
          <w:tcPr>
            <w:tcW w:w="1276" w:type="dxa"/>
          </w:tcPr>
          <w:p>
            <w:pPr>
              <w:pStyle w:val="0"/>
            </w:pPr>
            <w:r>
              <w:rPr>
                <w:sz w:val="20"/>
              </w:rPr>
              <w:t xml:space="preserve">Соглашение об информационном взаимодействии</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31.10.2025</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 Корсаковский муниципальный округ Сахалинской области</w:t>
            </w:r>
          </w:p>
        </w:tc>
      </w:tr>
      <w:tr>
        <w:tc>
          <w:tcPr>
            <w:tcW w:w="563" w:type="dxa"/>
          </w:tcPr>
          <w:p>
            <w:pPr>
              <w:pStyle w:val="0"/>
            </w:pPr>
            <w:r>
              <w:rPr>
                <w:sz w:val="20"/>
              </w:rPr>
              <w:t xml:space="preserve">2.3.</w:t>
            </w:r>
          </w:p>
        </w:tc>
        <w:tc>
          <w:tcPr>
            <w:vMerge w:val="continue"/>
          </w:tcPr>
          <w:p/>
        </w:tc>
        <w:tc>
          <w:tcPr>
            <w:tcW w:w="2154" w:type="dxa"/>
          </w:tcPr>
          <w:p>
            <w:pPr>
              <w:pStyle w:val="0"/>
            </w:pPr>
            <w:r>
              <w:rPr>
                <w:sz w:val="20"/>
              </w:rPr>
              <w:t xml:space="preserve">Внедрение электронного сервиса по согласованию топографической карты (плана) для прокладки газопровода (топосъемка) в электронном виде в информационной системе обеспечения градостроительной деятельности на территории Корсаковского муниципального округа Сахалинской области</w:t>
            </w:r>
          </w:p>
        </w:tc>
        <w:tc>
          <w:tcPr>
            <w:vMerge w:val="continue"/>
          </w:tcP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ГИСОГД СО</w:t>
            </w:r>
          </w:p>
        </w:tc>
        <w:tc>
          <w:tcPr>
            <w:tcW w:w="1276" w:type="dxa"/>
          </w:tcPr>
          <w:p>
            <w:pPr>
              <w:pStyle w:val="0"/>
              <w:jc w:val="center"/>
            </w:pPr>
            <w:r>
              <w:rPr>
                <w:sz w:val="20"/>
              </w:rPr>
              <w:t xml:space="preserve">До 31.10.2025</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 Корсаковский муниципальный округ Сахалинской области</w:t>
            </w:r>
          </w:p>
        </w:tc>
      </w:tr>
      <w:tr>
        <w:tc>
          <w:tcPr>
            <w:tcW w:w="563" w:type="dxa"/>
          </w:tcPr>
          <w:p>
            <w:pPr>
              <w:pStyle w:val="0"/>
            </w:pPr>
            <w:r>
              <w:rPr>
                <w:sz w:val="20"/>
              </w:rPr>
              <w:t xml:space="preserve">2.4.</w:t>
            </w:r>
          </w:p>
        </w:tc>
        <w:tc>
          <w:tcPr>
            <w:vMerge w:val="continue"/>
          </w:tcPr>
          <w:p/>
        </w:tc>
        <w:tc>
          <w:tcPr>
            <w:tcW w:w="2154" w:type="dxa"/>
          </w:tcPr>
          <w:p>
            <w:pPr>
              <w:pStyle w:val="0"/>
            </w:pPr>
            <w:r>
              <w:rPr>
                <w:sz w:val="20"/>
              </w:rPr>
              <w:t xml:space="preserve">Разработка и согласование администрациями муниципальных образований Сахалинской области, за исключением муниципального образования, указанного в </w:t>
            </w:r>
            <w:hyperlink w:history="0" w:anchor="P842" w:tooltip="2.1.">
              <w:r>
                <w:rPr>
                  <w:sz w:val="20"/>
                  <w:color w:val="0000ff"/>
                </w:rPr>
                <w:t xml:space="preserve">подпункте 2.1</w:t>
              </w:r>
            </w:hyperlink>
            <w:r>
              <w:rPr>
                <w:sz w:val="20"/>
              </w:rPr>
              <w:t xml:space="preserve"> настоящего Плана, положений о проведении процедур электронного согласования топографической карты земельного участка с целью подачи заявки на технологическое подключение в электронном виде</w:t>
            </w:r>
          </w:p>
        </w:tc>
        <w:tc>
          <w:tcPr>
            <w:vMerge w:val="continue"/>
          </w:tcP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Положения администраций муниципальных образований Сахалинской области</w:t>
            </w:r>
          </w:p>
        </w:tc>
        <w:tc>
          <w:tcPr>
            <w:tcW w:w="1276" w:type="dxa"/>
          </w:tcPr>
          <w:p>
            <w:pPr>
              <w:pStyle w:val="0"/>
              <w:jc w:val="center"/>
            </w:pPr>
            <w:r>
              <w:rPr>
                <w:sz w:val="20"/>
              </w:rPr>
              <w:t xml:space="preserve">До 01.03.2026</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2.5.</w:t>
            </w:r>
          </w:p>
        </w:tc>
        <w:tc>
          <w:tcPr>
            <w:vMerge w:val="continue"/>
          </w:tcPr>
          <w:p/>
        </w:tc>
        <w:tc>
          <w:tcPr>
            <w:tcW w:w="2154" w:type="dxa"/>
          </w:tcPr>
          <w:p>
            <w:pPr>
              <w:pStyle w:val="0"/>
            </w:pPr>
            <w:r>
              <w:rPr>
                <w:sz w:val="20"/>
              </w:rPr>
              <w:t xml:space="preserve">Заключение соглашений об информационном взаимодействии между министерством архитектуры и градостроительства Сахалинской области, министерством энергетики Сахалинской области, администрациями муниципальных образований Сахалинской области и ресурсоснабжающими организациями, ведущими деятельность на территории муниципальных образований Сахалинской области, за исключением муниципального образования, указанного в </w:t>
            </w:r>
            <w:hyperlink w:history="0" w:anchor="P848" w:tooltip="2.2.">
              <w:r>
                <w:rPr>
                  <w:sz w:val="20"/>
                  <w:color w:val="0000ff"/>
                </w:rPr>
                <w:t xml:space="preserve">подпункте 2.2</w:t>
              </w:r>
            </w:hyperlink>
            <w:r>
              <w:rPr>
                <w:sz w:val="20"/>
              </w:rPr>
              <w:t xml:space="preserve"> настоящего Плана</w:t>
            </w:r>
          </w:p>
        </w:tc>
        <w:tc>
          <w:tcPr>
            <w:vMerge w:val="continue"/>
          </w:tcPr>
          <w:p/>
        </w:tc>
        <w:tc>
          <w:tcPr>
            <w:tcW w:w="1276" w:type="dxa"/>
          </w:tcPr>
          <w:p>
            <w:pPr>
              <w:pStyle w:val="0"/>
            </w:pPr>
            <w:r>
              <w:rPr>
                <w:sz w:val="20"/>
              </w:rPr>
              <w:t xml:space="preserve">Соглашение об информационном взаимодействии</w:t>
            </w:r>
          </w:p>
        </w:tc>
        <w:tc>
          <w:tcPr>
            <w:tcW w:w="1701" w:type="dxa"/>
          </w:tcPr>
          <w:p>
            <w:pPr>
              <w:pStyle w:val="0"/>
            </w:pPr>
            <w:r>
              <w:rPr>
                <w:sz w:val="20"/>
              </w:rPr>
              <w:t xml:space="preserve">ГИСОГД СО</w:t>
            </w:r>
          </w:p>
        </w:tc>
        <w:tc>
          <w:tcPr>
            <w:tcW w:w="1276" w:type="dxa"/>
          </w:tcPr>
          <w:p>
            <w:pPr>
              <w:pStyle w:val="0"/>
              <w:jc w:val="center"/>
            </w:pPr>
            <w:r>
              <w:rPr>
                <w:sz w:val="20"/>
              </w:rPr>
              <w:t xml:space="preserve">До 01.06.2026</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2.6.</w:t>
            </w:r>
          </w:p>
        </w:tc>
        <w:tc>
          <w:tcPr>
            <w:vMerge w:val="continue"/>
          </w:tcPr>
          <w:p/>
        </w:tc>
        <w:tc>
          <w:tcPr>
            <w:tcW w:w="2154" w:type="dxa"/>
          </w:tcPr>
          <w:p>
            <w:pPr>
              <w:pStyle w:val="0"/>
            </w:pPr>
            <w:r>
              <w:rPr>
                <w:sz w:val="20"/>
              </w:rPr>
              <w:t xml:space="preserve">Внедрение электронного сервиса по согласованию топографической карты (плана) для прокладки газопровода (топосъемка) в электронном виде в информационной системе обеспечения градостроительной деятельности на территории муниципальных образований Сахалинской области</w:t>
            </w:r>
          </w:p>
        </w:tc>
        <w:tc>
          <w:tcPr>
            <w:vMerge w:val="continue"/>
          </w:tcP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ГИСОГД СО</w:t>
            </w:r>
          </w:p>
        </w:tc>
        <w:tc>
          <w:tcPr>
            <w:tcW w:w="1276" w:type="dxa"/>
          </w:tcPr>
          <w:p>
            <w:pPr>
              <w:pStyle w:val="0"/>
              <w:jc w:val="center"/>
            </w:pPr>
            <w:r>
              <w:rPr>
                <w:sz w:val="20"/>
              </w:rPr>
              <w:t xml:space="preserve">До 01.07.2026</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 муниципальные образования Сахалинской области</w:t>
            </w:r>
          </w:p>
        </w:tc>
      </w:tr>
      <w:tr>
        <w:tc>
          <w:tcPr>
            <w:tcW w:w="563" w:type="dxa"/>
          </w:tcPr>
          <w:p>
            <w:pPr>
              <w:pStyle w:val="0"/>
            </w:pPr>
            <w:r>
              <w:rPr>
                <w:sz w:val="20"/>
              </w:rPr>
              <w:t xml:space="preserve">3.</w:t>
            </w:r>
          </w:p>
        </w:tc>
        <w:tc>
          <w:tcPr>
            <w:vMerge w:val="continue"/>
          </w:tcPr>
          <w:p/>
        </w:tc>
        <w:tc>
          <w:tcPr>
            <w:tcW w:w="2154" w:type="dxa"/>
          </w:tcPr>
          <w:p>
            <w:pPr>
              <w:pStyle w:val="0"/>
            </w:pPr>
            <w:r>
              <w:rPr>
                <w:sz w:val="20"/>
              </w:rPr>
              <w:t xml:space="preserve">Размещение сведений, документов, материалов по существующим линейным объектам газового хозяйства в информационной системе обеспечения градостроительной деятельности</w:t>
            </w:r>
          </w:p>
        </w:tc>
        <w:tc>
          <w:tcPr>
            <w:tcW w:w="1984" w:type="dxa"/>
          </w:tcPr>
          <w:p>
            <w:pPr>
              <w:pStyle w:val="0"/>
            </w:pPr>
            <w:r>
              <w:rPr>
                <w:sz w:val="20"/>
              </w:rPr>
              <w:t xml:space="preserve">Доля линейных объектов, размещенных в информационной системе обеспечения градостроительной деятельности:</w:t>
            </w:r>
          </w:p>
          <w:p>
            <w:pPr>
              <w:pStyle w:val="0"/>
            </w:pPr>
            <w:r>
              <w:rPr>
                <w:sz w:val="20"/>
              </w:rPr>
              <w:t xml:space="preserve">до 31.12.2026 - не менее 10%;</w:t>
            </w:r>
          </w:p>
          <w:p>
            <w:pPr>
              <w:pStyle w:val="0"/>
            </w:pPr>
            <w:r>
              <w:rPr>
                <w:sz w:val="20"/>
              </w:rPr>
              <w:t xml:space="preserve">до 31.12.2027 - не менее 20%;</w:t>
            </w:r>
          </w:p>
          <w:p>
            <w:pPr>
              <w:pStyle w:val="0"/>
            </w:pPr>
            <w:r>
              <w:rPr>
                <w:sz w:val="20"/>
              </w:rPr>
              <w:t xml:space="preserve">до 31.12.2028 - не менее 35%;</w:t>
            </w:r>
          </w:p>
          <w:p>
            <w:pPr>
              <w:pStyle w:val="0"/>
            </w:pPr>
            <w:r>
              <w:rPr>
                <w:sz w:val="20"/>
              </w:rPr>
              <w:t xml:space="preserve">до 31.12.2029 - не менее 50%;</w:t>
            </w:r>
          </w:p>
          <w:p>
            <w:pPr>
              <w:pStyle w:val="0"/>
            </w:pPr>
            <w:r>
              <w:rPr>
                <w:sz w:val="20"/>
              </w:rPr>
              <w:t xml:space="preserve">до 01.07.2030 - не менее 75%</w:t>
            </w:r>
          </w:p>
        </w:tc>
        <w:tc>
          <w:tcPr>
            <w:tcW w:w="1276" w:type="dxa"/>
          </w:tcPr>
          <w:p>
            <w:pPr>
              <w:pStyle w:val="0"/>
            </w:pPr>
            <w:r>
              <w:rPr>
                <w:sz w:val="20"/>
              </w:rPr>
              <w:t xml:space="preserve">Отчет</w:t>
            </w:r>
          </w:p>
        </w:tc>
        <w:tc>
          <w:tcPr>
            <w:tcW w:w="1701" w:type="dxa"/>
          </w:tcPr>
          <w:p>
            <w:pPr>
              <w:pStyle w:val="0"/>
            </w:pPr>
            <w:r>
              <w:rPr>
                <w:sz w:val="20"/>
              </w:rPr>
              <w:t xml:space="preserve">ГИСОГД СО</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энергетики Сахалинской области, министерство архитектуры и градостроительства Сахалинской области</w:t>
            </w:r>
          </w:p>
        </w:tc>
      </w:tr>
      <w:tr>
        <w:tc>
          <w:tcPr>
            <w:tcW w:w="563" w:type="dxa"/>
          </w:tcPr>
          <w:p>
            <w:pPr>
              <w:pStyle w:val="0"/>
            </w:pPr>
            <w:r>
              <w:rPr>
                <w:sz w:val="20"/>
              </w:rPr>
              <w:t xml:space="preserve">4.</w:t>
            </w:r>
          </w:p>
        </w:tc>
        <w:tc>
          <w:tcPr>
            <w:tcW w:w="1644" w:type="dxa"/>
            <w:vMerge w:val="restart"/>
          </w:tcPr>
          <w:p>
            <w:pPr>
              <w:pStyle w:val="0"/>
            </w:pPr>
            <w:r>
              <w:rPr>
                <w:sz w:val="20"/>
              </w:rPr>
              <w:t xml:space="preserve">2.2.2 "Среднее количество процедур, необходимых для подключения к газопроводу"</w:t>
            </w:r>
          </w:p>
        </w:tc>
        <w:tc>
          <w:tcPr>
            <w:tcW w:w="2154" w:type="dxa"/>
          </w:tcPr>
          <w:p>
            <w:pPr>
              <w:pStyle w:val="0"/>
            </w:pPr>
            <w:r>
              <w:rPr>
                <w:sz w:val="20"/>
              </w:rPr>
              <w:t xml:space="preserve">Развитие функционала личного кабинета заявителя на портале Единого оператора газификации по обеспечению исполнения договора технологического присоединения к газораспределительным сетям и получения обратной связи как от заявителя, так и от газораспределительной организации</w:t>
            </w:r>
          </w:p>
        </w:tc>
        <w:tc>
          <w:tcPr>
            <w:tcW w:w="1984" w:type="dxa"/>
          </w:tcPr>
          <w:p>
            <w:pPr>
              <w:pStyle w:val="0"/>
            </w:pPr>
            <w:r>
              <w:rPr>
                <w:sz w:val="20"/>
              </w:rPr>
              <w:t xml:space="preserve">Упрощение процесса подключения к газопроводу</w:t>
            </w:r>
          </w:p>
        </w:tc>
        <w:tc>
          <w:tcPr>
            <w:tcW w:w="1276" w:type="dxa"/>
          </w:tcPr>
          <w:p>
            <w:pPr>
              <w:pStyle w:val="0"/>
              <w:jc w:val="center"/>
            </w:pPr>
            <w:r>
              <w:rPr>
                <w:sz w:val="20"/>
              </w:rPr>
              <w:t xml:space="preserve">-</w:t>
            </w:r>
          </w:p>
        </w:tc>
        <w:tc>
          <w:tcPr>
            <w:tcW w:w="1701" w:type="dxa"/>
          </w:tcPr>
          <w:p>
            <w:pPr>
              <w:pStyle w:val="0"/>
            </w:pPr>
            <w:r>
              <w:rPr>
                <w:sz w:val="20"/>
              </w:rPr>
              <w:t xml:space="preserve">Сайт сетевой организации</w:t>
            </w:r>
          </w:p>
        </w:tc>
        <w:tc>
          <w:tcPr>
            <w:tcW w:w="1276" w:type="dxa"/>
          </w:tcPr>
          <w:p>
            <w:pPr>
              <w:pStyle w:val="0"/>
              <w:jc w:val="center"/>
            </w:pPr>
            <w:r>
              <w:rPr>
                <w:sz w:val="20"/>
              </w:rPr>
              <w:t xml:space="preserve">До 31.12.2027</w:t>
            </w:r>
          </w:p>
        </w:tc>
        <w:tc>
          <w:tcPr>
            <w:tcW w:w="1644" w:type="dxa"/>
          </w:tcPr>
          <w:p>
            <w:pPr>
              <w:pStyle w:val="0"/>
            </w:pPr>
            <w:r>
              <w:rPr>
                <w:sz w:val="20"/>
              </w:rPr>
              <w:t xml:space="preserve">Министерство энергетики Сахалинской области</w:t>
            </w:r>
          </w:p>
        </w:tc>
      </w:tr>
      <w:tr>
        <w:tc>
          <w:tcPr>
            <w:tcW w:w="563" w:type="dxa"/>
          </w:tcPr>
          <w:p>
            <w:pPr>
              <w:pStyle w:val="0"/>
            </w:pPr>
            <w:r>
              <w:rPr>
                <w:sz w:val="20"/>
              </w:rPr>
              <w:t xml:space="preserve">5.</w:t>
            </w:r>
          </w:p>
        </w:tc>
        <w:tc>
          <w:tcPr>
            <w:vMerge w:val="continue"/>
          </w:tcPr>
          <w:p/>
        </w:tc>
        <w:tc>
          <w:tcPr>
            <w:tcW w:w="2154" w:type="dxa"/>
          </w:tcPr>
          <w:p>
            <w:pPr>
              <w:pStyle w:val="0"/>
            </w:pPr>
            <w:r>
              <w:rPr>
                <w:sz w:val="20"/>
              </w:rPr>
              <w:t xml:space="preserve">Информирование предпринимателей о возможности и преимуществах подачи заявок на технологическое присоединение к газопроводу в электронном виде</w:t>
            </w:r>
          </w:p>
        </w:tc>
        <w:tc>
          <w:tcPr>
            <w:tcW w:w="1984" w:type="dxa"/>
          </w:tcPr>
          <w:p>
            <w:pPr>
              <w:pStyle w:val="0"/>
            </w:pPr>
            <w:r>
              <w:rPr>
                <w:sz w:val="20"/>
              </w:rPr>
              <w:t xml:space="preserve">Перевод максимального количества заявок в электронный вид</w:t>
            </w:r>
          </w:p>
        </w:tc>
        <w:tc>
          <w:tcPr>
            <w:tcW w:w="1276" w:type="dxa"/>
          </w:tcPr>
          <w:p>
            <w:pPr>
              <w:pStyle w:val="0"/>
              <w:jc w:val="center"/>
            </w:pPr>
            <w:r>
              <w:rPr>
                <w:sz w:val="20"/>
              </w:rPr>
              <w:t xml:space="preserve">-</w:t>
            </w:r>
          </w:p>
        </w:tc>
        <w:tc>
          <w:tcPr>
            <w:tcW w:w="1701" w:type="dxa"/>
          </w:tcPr>
          <w:p>
            <w:pPr>
              <w:pStyle w:val="0"/>
            </w:pPr>
            <w:r>
              <w:rPr>
                <w:sz w:val="20"/>
              </w:rPr>
              <w:t xml:space="preserve">Сайт сетевой организации</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энергетики Сахалинской области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8</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915" w:name="P915"/>
    <w:bookmarkEnd w:id="915"/>
    <w:p>
      <w:pPr>
        <w:pStyle w:val="2"/>
        <w:jc w:val="center"/>
      </w:pPr>
      <w:r>
        <w:rPr>
          <w:sz w:val="20"/>
        </w:rPr>
        <w:t xml:space="preserve">ПЛАН</w:t>
      </w:r>
    </w:p>
    <w:p>
      <w:pPr>
        <w:pStyle w:val="2"/>
        <w:jc w:val="center"/>
      </w:pPr>
      <w:r>
        <w:rPr>
          <w:sz w:val="20"/>
        </w:rPr>
        <w:t xml:space="preserve">МЕРОПРИЯТИЙ ("ДОРОЖНАЯ КАРТА")</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ПО ФАКТОРУ</w:t>
      </w:r>
    </w:p>
    <w:p>
      <w:pPr>
        <w:pStyle w:val="2"/>
        <w:jc w:val="center"/>
      </w:pPr>
      <w:r>
        <w:rPr>
          <w:sz w:val="20"/>
        </w:rPr>
        <w:t xml:space="preserve">"ЭФФЕКТИВНОСТЬ ПРОЦЕДУР ПО ПОДКЛЮЧЕНИЮ</w:t>
      </w:r>
    </w:p>
    <w:p>
      <w:pPr>
        <w:pStyle w:val="2"/>
        <w:jc w:val="center"/>
      </w:pPr>
      <w:r>
        <w:rPr>
          <w:sz w:val="20"/>
        </w:rPr>
        <w:t xml:space="preserve">К СЕТЯМ ВОДОСНАБЖЕНИЯ И ВОДООТВЕДЕНИЯ"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4"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14.11.2025 N 286-р)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2154"/>
        <w:gridCol w:w="1984"/>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2154" w:type="dxa"/>
          </w:tcPr>
          <w:p>
            <w:pPr>
              <w:pStyle w:val="0"/>
              <w:jc w:val="center"/>
            </w:pPr>
            <w:r>
              <w:rPr>
                <w:sz w:val="20"/>
              </w:rPr>
              <w:t xml:space="preserve">Наименование мероприятия</w:t>
            </w:r>
          </w:p>
        </w:tc>
        <w:tc>
          <w:tcPr>
            <w:tcW w:w="1984"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2154" w:type="dxa"/>
          </w:tcPr>
          <w:p>
            <w:pPr>
              <w:pStyle w:val="0"/>
              <w:jc w:val="center"/>
            </w:pPr>
            <w:r>
              <w:rPr>
                <w:sz w:val="20"/>
              </w:rPr>
              <w:t xml:space="preserve">3</w:t>
            </w:r>
          </w:p>
        </w:tc>
        <w:tc>
          <w:tcPr>
            <w:tcW w:w="1984"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2.3.1 "Среднее время подключения к сетям водоснабжения"</w:t>
            </w:r>
          </w:p>
          <w:p>
            <w:pPr>
              <w:pStyle w:val="0"/>
            </w:pPr>
            <w:r>
              <w:rPr>
                <w:sz w:val="20"/>
              </w:rPr>
              <w:t xml:space="preserve">2.3.2 "Среднее количество процедур, необходимых для подключения к сетям водоснабжения"</w:t>
            </w:r>
          </w:p>
        </w:tc>
        <w:tc>
          <w:tcPr>
            <w:tcW w:w="2154" w:type="dxa"/>
          </w:tcPr>
          <w:p>
            <w:pPr>
              <w:pStyle w:val="0"/>
            </w:pPr>
            <w:r>
              <w:rPr>
                <w:sz w:val="20"/>
              </w:rPr>
              <w:t xml:space="preserve">Регистрация сетевых организаций, осуществляющих технологическое присоединение к сетям водоснабжения на региональном портале Госуслуг</w:t>
            </w:r>
          </w:p>
        </w:tc>
        <w:tc>
          <w:tcPr>
            <w:tcW w:w="1984" w:type="dxa"/>
          </w:tcPr>
          <w:p>
            <w:pPr>
              <w:pStyle w:val="0"/>
            </w:pPr>
            <w:r>
              <w:rPr>
                <w:sz w:val="20"/>
              </w:rPr>
              <w:t xml:space="preserve">Доля сетевых организаций, подключенных к региональному порталу Госуслуг:</w:t>
            </w:r>
          </w:p>
          <w:p>
            <w:pPr>
              <w:pStyle w:val="0"/>
            </w:pPr>
            <w:r>
              <w:rPr>
                <w:sz w:val="20"/>
              </w:rPr>
              <w:t xml:space="preserve">до 31.12.2027 - не менее 50%;</w:t>
            </w:r>
          </w:p>
          <w:p>
            <w:pPr>
              <w:pStyle w:val="0"/>
            </w:pPr>
            <w:r>
              <w:rPr>
                <w:sz w:val="20"/>
              </w:rPr>
              <w:t xml:space="preserve">до 31.12.2028 - не менее 60%;</w:t>
            </w:r>
          </w:p>
          <w:p>
            <w:pPr>
              <w:pStyle w:val="0"/>
            </w:pPr>
            <w:r>
              <w:rPr>
                <w:sz w:val="20"/>
              </w:rPr>
              <w:t xml:space="preserve">до 31.12.2029 - не менее 70%</w:t>
            </w:r>
          </w:p>
        </w:tc>
        <w:tc>
          <w:tcPr>
            <w:tcW w:w="1276" w:type="dxa"/>
          </w:tcPr>
          <w:p>
            <w:pPr>
              <w:pStyle w:val="0"/>
            </w:pPr>
            <w:r>
              <w:rPr>
                <w:sz w:val="20"/>
              </w:rPr>
              <w:t xml:space="preserve">Реестр зарегистрированных ресурсоснабжающих организаций</w:t>
            </w:r>
          </w:p>
        </w:tc>
        <w:tc>
          <w:tcPr>
            <w:tcW w:w="1701" w:type="dxa"/>
          </w:tcPr>
          <w:p>
            <w:pPr>
              <w:pStyle w:val="0"/>
            </w:pPr>
            <w:r>
              <w:rPr>
                <w:sz w:val="20"/>
              </w:rPr>
              <w:t xml:space="preserve">Сводная информация по всем ресурсоснабжающим организациям</w:t>
            </w:r>
          </w:p>
        </w:tc>
        <w:tc>
          <w:tcPr>
            <w:tcW w:w="1276" w:type="dxa"/>
          </w:tcPr>
          <w:p>
            <w:pPr>
              <w:pStyle w:val="0"/>
              <w:jc w:val="center"/>
            </w:pPr>
            <w:r>
              <w:rPr>
                <w:sz w:val="20"/>
              </w:rPr>
              <w:t xml:space="preserve">До 31.12.2029</w:t>
            </w:r>
          </w:p>
        </w:tc>
        <w:tc>
          <w:tcPr>
            <w:tcW w:w="1644" w:type="dxa"/>
          </w:tcPr>
          <w:p>
            <w:pPr>
              <w:pStyle w:val="0"/>
            </w:pPr>
            <w:r>
              <w:rPr>
                <w:sz w:val="20"/>
              </w:rPr>
              <w:t xml:space="preserve">Министерство жилищно-коммунального хозяйства Сахалинской области</w:t>
            </w:r>
          </w:p>
        </w:tc>
      </w:tr>
      <w:tr>
        <w:tc>
          <w:tcPr>
            <w:tcW w:w="563" w:type="dxa"/>
          </w:tcPr>
          <w:p>
            <w:pPr>
              <w:pStyle w:val="0"/>
            </w:pPr>
            <w:r>
              <w:rPr>
                <w:sz w:val="20"/>
              </w:rPr>
              <w:t xml:space="preserve">2.</w:t>
            </w:r>
          </w:p>
        </w:tc>
        <w:tc>
          <w:tcPr>
            <w:vMerge w:val="continue"/>
          </w:tcPr>
          <w:p/>
        </w:tc>
        <w:tc>
          <w:tcPr>
            <w:tcW w:w="2154" w:type="dxa"/>
          </w:tcPr>
          <w:p>
            <w:pPr>
              <w:pStyle w:val="0"/>
            </w:pPr>
            <w:r>
              <w:rPr>
                <w:sz w:val="20"/>
              </w:rPr>
              <w:t xml:space="preserve">Размещение сведений, документов, материалов по существующим объектам водоснабжения в системе обеспечения градостроительной деятельности</w:t>
            </w:r>
          </w:p>
        </w:tc>
        <w:tc>
          <w:tcPr>
            <w:tcW w:w="1984" w:type="dxa"/>
          </w:tcPr>
          <w:p>
            <w:pPr>
              <w:pStyle w:val="0"/>
            </w:pPr>
            <w:r>
              <w:rPr>
                <w:sz w:val="20"/>
              </w:rPr>
              <w:t xml:space="preserve">Доля объектов водоснабжения, размещенных в системе обеспечения градостроительной деятельности:</w:t>
            </w:r>
          </w:p>
          <w:p>
            <w:pPr>
              <w:pStyle w:val="0"/>
            </w:pPr>
            <w:r>
              <w:rPr>
                <w:sz w:val="20"/>
              </w:rPr>
              <w:t xml:space="preserve">до 31.12.2027 - не менее 50%;</w:t>
            </w:r>
          </w:p>
          <w:p>
            <w:pPr>
              <w:pStyle w:val="0"/>
            </w:pPr>
            <w:r>
              <w:rPr>
                <w:sz w:val="20"/>
              </w:rPr>
              <w:t xml:space="preserve">до 31.12.2028 - не менее 60%;</w:t>
            </w:r>
          </w:p>
          <w:p>
            <w:pPr>
              <w:pStyle w:val="0"/>
            </w:pPr>
            <w:r>
              <w:rPr>
                <w:sz w:val="20"/>
              </w:rPr>
              <w:t xml:space="preserve">до 31.12.2029 - не менее 70%</w:t>
            </w:r>
          </w:p>
        </w:tc>
        <w:tc>
          <w:tcPr>
            <w:tcW w:w="1276" w:type="dxa"/>
          </w:tcPr>
          <w:p>
            <w:pPr>
              <w:pStyle w:val="0"/>
            </w:pPr>
            <w:r>
              <w:rPr>
                <w:sz w:val="20"/>
              </w:rPr>
              <w:t xml:space="preserve">Отчет</w:t>
            </w:r>
          </w:p>
        </w:tc>
        <w:tc>
          <w:tcPr>
            <w:tcW w:w="1701" w:type="dxa"/>
          </w:tcPr>
          <w:p>
            <w:pPr>
              <w:pStyle w:val="0"/>
            </w:pPr>
            <w:r>
              <w:rPr>
                <w:sz w:val="20"/>
              </w:rPr>
              <w:t xml:space="preserve">Государственная информационная система обеспечения градостроительной деятельности Сахалинской области (далее - ГИСОГД СО)</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жилищно-коммунального хозяйства Сахалинской области, министерство архитектуры и градостроительства Сахалинской области</w:t>
            </w:r>
          </w:p>
        </w:tc>
      </w:tr>
      <w:tr>
        <w:tc>
          <w:tcPr>
            <w:tcW w:w="563" w:type="dxa"/>
          </w:tcPr>
          <w:p>
            <w:pPr>
              <w:pStyle w:val="0"/>
            </w:pPr>
            <w:r>
              <w:rPr>
                <w:sz w:val="20"/>
              </w:rPr>
              <w:t xml:space="preserve">3.</w:t>
            </w:r>
          </w:p>
        </w:tc>
        <w:tc>
          <w:tcPr>
            <w:vMerge w:val="continue"/>
          </w:tcPr>
          <w:p/>
        </w:tc>
        <w:tc>
          <w:tcPr>
            <w:tcW w:w="2154" w:type="dxa"/>
          </w:tcPr>
          <w:p>
            <w:pPr>
              <w:pStyle w:val="0"/>
            </w:pPr>
            <w:r>
              <w:rPr>
                <w:sz w:val="20"/>
              </w:rPr>
              <w:t xml:space="preserve">Заключение соглашений между ресурсоснабжающими организациями муниципальных образований Сахалинской области о взаимодействии при согласовании трасс инженерных сетей в системе обеспечения градостроительной деятельности</w:t>
            </w:r>
          </w:p>
        </w:tc>
        <w:tc>
          <w:tcPr>
            <w:tcW w:w="1984" w:type="dxa"/>
          </w:tcPr>
          <w:p>
            <w:pPr>
              <w:pStyle w:val="0"/>
            </w:pPr>
            <w:r>
              <w:rPr>
                <w:sz w:val="20"/>
              </w:rPr>
              <w:t xml:space="preserve">Заключены соглашения:</w:t>
            </w:r>
          </w:p>
          <w:p>
            <w:pPr>
              <w:pStyle w:val="0"/>
            </w:pPr>
            <w:r>
              <w:rPr>
                <w:sz w:val="20"/>
              </w:rPr>
              <w:t xml:space="preserve">до 31.12.2026 - в 4 муниципальных образованиях;</w:t>
            </w:r>
          </w:p>
          <w:p>
            <w:pPr>
              <w:pStyle w:val="0"/>
            </w:pPr>
            <w:r>
              <w:rPr>
                <w:sz w:val="20"/>
              </w:rPr>
              <w:t xml:space="preserve">до 31.12.2027 - в 9 муниципальных образованиях</w:t>
            </w:r>
          </w:p>
        </w:tc>
        <w:tc>
          <w:tcPr>
            <w:tcW w:w="1276" w:type="dxa"/>
          </w:tcPr>
          <w:p>
            <w:pPr>
              <w:pStyle w:val="0"/>
            </w:pPr>
            <w:r>
              <w:rPr>
                <w:sz w:val="20"/>
              </w:rPr>
              <w:t xml:space="preserve">Соглашение о взаимодействии при согласовании трасс инженерных сетей</w:t>
            </w:r>
          </w:p>
        </w:tc>
        <w:tc>
          <w:tcPr>
            <w:tcW w:w="1701" w:type="dxa"/>
          </w:tcPr>
          <w:p>
            <w:pPr>
              <w:pStyle w:val="0"/>
            </w:pPr>
            <w:r>
              <w:rPr>
                <w:sz w:val="20"/>
              </w:rPr>
              <w:t xml:space="preserve">Соглашение</w:t>
            </w:r>
          </w:p>
        </w:tc>
        <w:tc>
          <w:tcPr>
            <w:tcW w:w="1276" w:type="dxa"/>
          </w:tcPr>
          <w:p>
            <w:pPr>
              <w:pStyle w:val="0"/>
              <w:jc w:val="center"/>
            </w:pPr>
            <w:r>
              <w:rPr>
                <w:sz w:val="20"/>
              </w:rPr>
              <w:t xml:space="preserve">До 31.12.2027</w:t>
            </w:r>
          </w:p>
        </w:tc>
        <w:tc>
          <w:tcPr>
            <w:tcW w:w="1644" w:type="dxa"/>
          </w:tcPr>
          <w:p>
            <w:pPr>
              <w:pStyle w:val="0"/>
            </w:pPr>
            <w:r>
              <w:rPr>
                <w:sz w:val="20"/>
              </w:rPr>
              <w:t xml:space="preserve">Министерство жилищно-коммунального хозяйства Сахалинской области, министерство архитектуры и градостроительства Сахалинской области</w:t>
            </w:r>
          </w:p>
        </w:tc>
      </w:tr>
      <w:tr>
        <w:tc>
          <w:tcPr>
            <w:tcW w:w="563" w:type="dxa"/>
          </w:tcPr>
          <w:p>
            <w:pPr>
              <w:pStyle w:val="0"/>
            </w:pPr>
            <w:r>
              <w:rPr>
                <w:sz w:val="20"/>
              </w:rPr>
              <w:t xml:space="preserve">4.</w:t>
            </w:r>
          </w:p>
        </w:tc>
        <w:tc>
          <w:tcPr>
            <w:vMerge w:val="continue"/>
          </w:tcPr>
          <w:p/>
        </w:tc>
        <w:tc>
          <w:tcPr>
            <w:tcW w:w="2154" w:type="dxa"/>
          </w:tcPr>
          <w:p>
            <w:pPr>
              <w:pStyle w:val="0"/>
            </w:pPr>
            <w:r>
              <w:rPr>
                <w:sz w:val="20"/>
              </w:rPr>
              <w:t xml:space="preserve">Информирование предпринимателей о процессе технологического присоединения к сетям водоснабжения до заключения договора о подключении</w:t>
            </w:r>
          </w:p>
        </w:tc>
        <w:tc>
          <w:tcPr>
            <w:tcW w:w="1984" w:type="dxa"/>
          </w:tcPr>
          <w:p>
            <w:pPr>
              <w:pStyle w:val="0"/>
            </w:pPr>
            <w:r>
              <w:rPr>
                <w:sz w:val="20"/>
              </w:rPr>
              <w:t xml:space="preserve">Снижение времени подключения к сетям водоснабжения за счет повышения качества подаваемых документов</w:t>
            </w:r>
          </w:p>
        </w:tc>
        <w:tc>
          <w:tcPr>
            <w:tcW w:w="1276" w:type="dxa"/>
          </w:tcPr>
          <w:p>
            <w:pPr>
              <w:pStyle w:val="0"/>
              <w:jc w:val="center"/>
            </w:pPr>
            <w:r>
              <w:rPr>
                <w:sz w:val="20"/>
              </w:rPr>
              <w:t xml:space="preserve">-</w:t>
            </w:r>
          </w:p>
        </w:tc>
        <w:tc>
          <w:tcPr>
            <w:tcW w:w="1701" w:type="dxa"/>
          </w:tcPr>
          <w:p>
            <w:pPr>
              <w:pStyle w:val="0"/>
            </w:pPr>
            <w:r>
              <w:rPr>
                <w:sz w:val="20"/>
              </w:rPr>
              <w:t xml:space="preserve">Официальные сайты ресурсоснабжающих организаций</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жилищно-коммунального хозяйства Сахалинской области</w:t>
            </w:r>
          </w:p>
        </w:tc>
      </w:tr>
      <w:tr>
        <w:tc>
          <w:tcPr>
            <w:tcW w:w="563" w:type="dxa"/>
          </w:tcPr>
          <w:p>
            <w:pPr>
              <w:pStyle w:val="0"/>
            </w:pPr>
            <w:r>
              <w:rPr>
                <w:sz w:val="20"/>
              </w:rPr>
              <w:t xml:space="preserve">5.</w:t>
            </w:r>
          </w:p>
        </w:tc>
        <w:tc>
          <w:tcPr>
            <w:vMerge w:val="continue"/>
          </w:tcPr>
          <w:p/>
        </w:tc>
        <w:tc>
          <w:tcPr>
            <w:tcW w:w="2154" w:type="dxa"/>
          </w:tcPr>
          <w:p>
            <w:pPr>
              <w:pStyle w:val="0"/>
            </w:pPr>
            <w:r>
              <w:rPr>
                <w:sz w:val="20"/>
              </w:rPr>
              <w:t xml:space="preserve">Выявление проблемных вопросов бизнеса при осуществлении технологического присоединения к сетям водоснабжения</w:t>
            </w:r>
          </w:p>
        </w:tc>
        <w:tc>
          <w:tcPr>
            <w:tcW w:w="1984" w:type="dxa"/>
          </w:tcPr>
          <w:p>
            <w:pPr>
              <w:pStyle w:val="0"/>
            </w:pPr>
            <w:r>
              <w:rPr>
                <w:sz w:val="20"/>
              </w:rPr>
              <w:t xml:space="preserve">Решение проблемных вопросов на ранней стадии технологического присоединения</w:t>
            </w:r>
          </w:p>
        </w:tc>
        <w:tc>
          <w:tcPr>
            <w:tcW w:w="1276" w:type="dxa"/>
          </w:tcPr>
          <w:p>
            <w:pPr>
              <w:pStyle w:val="0"/>
            </w:pPr>
            <w:r>
              <w:rPr>
                <w:sz w:val="20"/>
              </w:rPr>
              <w:t xml:space="preserve">Протокол заседания рабочей группы</w:t>
            </w:r>
          </w:p>
        </w:tc>
        <w:tc>
          <w:tcPr>
            <w:tcW w:w="1701" w:type="dxa"/>
          </w:tcPr>
          <w:p>
            <w:pPr>
              <w:pStyle w:val="0"/>
            </w:pPr>
            <w:r>
              <w:rPr>
                <w:sz w:val="20"/>
              </w:rPr>
              <w:t xml:space="preserve">Инвестиционный портал Сахалинской области</w:t>
            </w:r>
          </w:p>
        </w:tc>
        <w:tc>
          <w:tcPr>
            <w:tcW w:w="1276" w:type="dxa"/>
          </w:tcPr>
          <w:p>
            <w:pPr>
              <w:pStyle w:val="0"/>
              <w:jc w:val="center"/>
            </w:pPr>
            <w:r>
              <w:rPr>
                <w:sz w:val="20"/>
              </w:rPr>
              <w:t xml:space="preserve">Ежемесячно до 01.07.2030</w:t>
            </w:r>
          </w:p>
        </w:tc>
        <w:tc>
          <w:tcPr>
            <w:tcW w:w="1644" w:type="dxa"/>
          </w:tcPr>
          <w:p>
            <w:pPr>
              <w:pStyle w:val="0"/>
            </w:pPr>
            <w:r>
              <w:rPr>
                <w:sz w:val="20"/>
              </w:rPr>
              <w:t xml:space="preserve">Министерство жилищно-коммунального хозяйства Сахалинской области</w:t>
            </w:r>
          </w:p>
        </w:tc>
      </w:tr>
      <w:tr>
        <w:tc>
          <w:tcPr>
            <w:tcW w:w="563" w:type="dxa"/>
          </w:tcPr>
          <w:p>
            <w:pPr>
              <w:pStyle w:val="0"/>
            </w:pPr>
            <w:r>
              <w:rPr>
                <w:sz w:val="20"/>
              </w:rPr>
              <w:t xml:space="preserve">6.</w:t>
            </w:r>
          </w:p>
        </w:tc>
        <w:tc>
          <w:tcPr>
            <w:vMerge w:val="continue"/>
          </w:tcPr>
          <w:p/>
        </w:tc>
        <w:tc>
          <w:tcPr>
            <w:tcW w:w="2154" w:type="dxa"/>
          </w:tcPr>
          <w:p>
            <w:pPr>
              <w:pStyle w:val="0"/>
            </w:pPr>
            <w:r>
              <w:rPr>
                <w:sz w:val="20"/>
              </w:rPr>
              <w:t xml:space="preserve">Информирование предпринимателей о возможности и преимуществах предоставления услуги технологического присоединения к сетям водоснабжения в электронном виде</w:t>
            </w:r>
          </w:p>
        </w:tc>
        <w:tc>
          <w:tcPr>
            <w:tcW w:w="1984" w:type="dxa"/>
          </w:tcPr>
          <w:p>
            <w:pPr>
              <w:pStyle w:val="0"/>
            </w:pPr>
            <w:r>
              <w:rPr>
                <w:sz w:val="20"/>
              </w:rPr>
              <w:t xml:space="preserve">Перевод максимального количества заявок в электронный вид</w:t>
            </w:r>
          </w:p>
        </w:tc>
        <w:tc>
          <w:tcPr>
            <w:tcW w:w="1276" w:type="dxa"/>
          </w:tcPr>
          <w:p>
            <w:pPr>
              <w:pStyle w:val="0"/>
              <w:jc w:val="center"/>
            </w:pPr>
            <w:r>
              <w:rPr>
                <w:sz w:val="20"/>
              </w:rPr>
              <w:t xml:space="preserve">-</w:t>
            </w:r>
          </w:p>
        </w:tc>
        <w:tc>
          <w:tcPr>
            <w:tcW w:w="1701" w:type="dxa"/>
          </w:tcPr>
          <w:p>
            <w:pPr>
              <w:pStyle w:val="0"/>
            </w:pPr>
            <w:r>
              <w:rPr>
                <w:sz w:val="20"/>
              </w:rPr>
              <w:t xml:space="preserve">Официальные сайты ресурсоснабжающих организаций</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жилищно-коммунального хозяйства Сахалинской области</w:t>
            </w:r>
          </w:p>
        </w:tc>
      </w:tr>
      <w:tr>
        <w:tc>
          <w:tcPr>
            <w:tcW w:w="563" w:type="dxa"/>
          </w:tcPr>
          <w:p>
            <w:pPr>
              <w:pStyle w:val="0"/>
            </w:pPr>
            <w:r>
              <w:rPr>
                <w:sz w:val="20"/>
              </w:rPr>
              <w:t xml:space="preserve">7.</w:t>
            </w:r>
          </w:p>
        </w:tc>
        <w:tc>
          <w:tcPr>
            <w:tcW w:w="1644" w:type="dxa"/>
            <w:vMerge w:val="restart"/>
          </w:tcPr>
          <w:p>
            <w:pPr>
              <w:pStyle w:val="0"/>
            </w:pPr>
            <w:r>
              <w:rPr>
                <w:sz w:val="20"/>
              </w:rPr>
              <w:t xml:space="preserve">2.3.4 "Среднее время подключения к сетям водоотведения"</w:t>
            </w:r>
          </w:p>
          <w:p>
            <w:pPr>
              <w:pStyle w:val="0"/>
            </w:pPr>
            <w:r>
              <w:rPr>
                <w:sz w:val="20"/>
              </w:rPr>
              <w:t xml:space="preserve">2.3.5 "Среднее количество процедур, необходимых для подключения к сетям водоотведения"</w:t>
            </w:r>
          </w:p>
        </w:tc>
        <w:tc>
          <w:tcPr>
            <w:tcW w:w="2154" w:type="dxa"/>
          </w:tcPr>
          <w:p>
            <w:pPr>
              <w:pStyle w:val="0"/>
            </w:pPr>
            <w:r>
              <w:rPr>
                <w:sz w:val="20"/>
              </w:rPr>
              <w:t xml:space="preserve">Регистрация сетевых организаций, осуществляющих технологическое присоединение к сетям водоотведения, на региональном портале Госуслуг</w:t>
            </w:r>
          </w:p>
        </w:tc>
        <w:tc>
          <w:tcPr>
            <w:tcW w:w="1984" w:type="dxa"/>
          </w:tcPr>
          <w:p>
            <w:pPr>
              <w:pStyle w:val="0"/>
            </w:pPr>
            <w:r>
              <w:rPr>
                <w:sz w:val="20"/>
              </w:rPr>
              <w:t xml:space="preserve">Доля сетевых организаций, подключенных к региональному порталу Госуслуг:</w:t>
            </w:r>
          </w:p>
          <w:p>
            <w:pPr>
              <w:pStyle w:val="0"/>
            </w:pPr>
            <w:r>
              <w:rPr>
                <w:sz w:val="20"/>
              </w:rPr>
              <w:t xml:space="preserve">до 31.12.2027 - не менее 50%;</w:t>
            </w:r>
          </w:p>
          <w:p>
            <w:pPr>
              <w:pStyle w:val="0"/>
            </w:pPr>
            <w:r>
              <w:rPr>
                <w:sz w:val="20"/>
              </w:rPr>
              <w:t xml:space="preserve">до 31.12.2028 - не менее 60%;</w:t>
            </w:r>
          </w:p>
          <w:p>
            <w:pPr>
              <w:pStyle w:val="0"/>
            </w:pPr>
            <w:r>
              <w:rPr>
                <w:sz w:val="20"/>
              </w:rPr>
              <w:t xml:space="preserve">до 31.12.2029 - не менее 70%</w:t>
            </w:r>
          </w:p>
        </w:tc>
        <w:tc>
          <w:tcPr>
            <w:tcW w:w="1276" w:type="dxa"/>
          </w:tcPr>
          <w:p>
            <w:pPr>
              <w:pStyle w:val="0"/>
            </w:pPr>
            <w:r>
              <w:rPr>
                <w:sz w:val="20"/>
              </w:rPr>
              <w:t xml:space="preserve">Реестр зарегистрированных ресурсоснабжающих организаций</w:t>
            </w:r>
          </w:p>
        </w:tc>
        <w:tc>
          <w:tcPr>
            <w:tcW w:w="1701" w:type="dxa"/>
          </w:tcPr>
          <w:p>
            <w:pPr>
              <w:pStyle w:val="0"/>
            </w:pPr>
            <w:r>
              <w:rPr>
                <w:sz w:val="20"/>
              </w:rPr>
              <w:t xml:space="preserve">Сводная информация по всем ресурсоснабжающим организациям</w:t>
            </w:r>
          </w:p>
        </w:tc>
        <w:tc>
          <w:tcPr>
            <w:tcW w:w="1276" w:type="dxa"/>
          </w:tcPr>
          <w:p>
            <w:pPr>
              <w:pStyle w:val="0"/>
              <w:jc w:val="center"/>
            </w:pPr>
            <w:r>
              <w:rPr>
                <w:sz w:val="20"/>
              </w:rPr>
              <w:t xml:space="preserve">До 31.12.2029</w:t>
            </w:r>
          </w:p>
        </w:tc>
        <w:tc>
          <w:tcPr>
            <w:tcW w:w="1644" w:type="dxa"/>
          </w:tcPr>
          <w:p>
            <w:pPr>
              <w:pStyle w:val="0"/>
            </w:pPr>
            <w:r>
              <w:rPr>
                <w:sz w:val="20"/>
              </w:rPr>
              <w:t xml:space="preserve">Министерство жилищно-коммунального хозяйства Сахалинской области</w:t>
            </w:r>
          </w:p>
        </w:tc>
      </w:tr>
      <w:tr>
        <w:tc>
          <w:tcPr>
            <w:tcW w:w="563" w:type="dxa"/>
          </w:tcPr>
          <w:p>
            <w:pPr>
              <w:pStyle w:val="0"/>
            </w:pPr>
            <w:r>
              <w:rPr>
                <w:sz w:val="20"/>
              </w:rPr>
              <w:t xml:space="preserve">8.</w:t>
            </w:r>
          </w:p>
        </w:tc>
        <w:tc>
          <w:tcPr>
            <w:vMerge w:val="continue"/>
          </w:tcPr>
          <w:p/>
        </w:tc>
        <w:tc>
          <w:tcPr>
            <w:tcW w:w="2154" w:type="dxa"/>
          </w:tcPr>
          <w:p>
            <w:pPr>
              <w:pStyle w:val="0"/>
            </w:pPr>
            <w:r>
              <w:rPr>
                <w:sz w:val="20"/>
              </w:rPr>
              <w:t xml:space="preserve">Размещение сведений, документов, материалов по существующим объектам водоотведения в системе обеспечения градостроительной деятельности</w:t>
            </w:r>
          </w:p>
        </w:tc>
        <w:tc>
          <w:tcPr>
            <w:tcW w:w="1984" w:type="dxa"/>
          </w:tcPr>
          <w:p>
            <w:pPr>
              <w:pStyle w:val="0"/>
            </w:pPr>
            <w:r>
              <w:rPr>
                <w:sz w:val="20"/>
              </w:rPr>
              <w:t xml:space="preserve">Доля объектов водоотведения, размещенных в системе обеспечения градостроительной деятельности:</w:t>
            </w:r>
          </w:p>
          <w:p>
            <w:pPr>
              <w:pStyle w:val="0"/>
            </w:pPr>
            <w:r>
              <w:rPr>
                <w:sz w:val="20"/>
              </w:rPr>
              <w:t xml:space="preserve">до 31.12.2027 - не менее 50%;</w:t>
            </w:r>
          </w:p>
          <w:p>
            <w:pPr>
              <w:pStyle w:val="0"/>
            </w:pPr>
            <w:r>
              <w:rPr>
                <w:sz w:val="20"/>
              </w:rPr>
              <w:t xml:space="preserve">до 31.12.2028 - не менее 60%;</w:t>
            </w:r>
          </w:p>
          <w:p>
            <w:pPr>
              <w:pStyle w:val="0"/>
            </w:pPr>
            <w:r>
              <w:rPr>
                <w:sz w:val="20"/>
              </w:rPr>
              <w:t xml:space="preserve">до 31.12.2029 - не менее 70%</w:t>
            </w:r>
          </w:p>
        </w:tc>
        <w:tc>
          <w:tcPr>
            <w:tcW w:w="1276" w:type="dxa"/>
          </w:tcPr>
          <w:p>
            <w:pPr>
              <w:pStyle w:val="0"/>
            </w:pPr>
            <w:r>
              <w:rPr>
                <w:sz w:val="20"/>
              </w:rPr>
              <w:t xml:space="preserve">Отчет</w:t>
            </w:r>
          </w:p>
        </w:tc>
        <w:tc>
          <w:tcPr>
            <w:tcW w:w="1701" w:type="dxa"/>
          </w:tcPr>
          <w:p>
            <w:pPr>
              <w:pStyle w:val="0"/>
            </w:pPr>
            <w:r>
              <w:rPr>
                <w:sz w:val="20"/>
              </w:rPr>
              <w:t xml:space="preserve">ГИСОГД СО</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жилищно-коммунального хозяйства Сахалинской области, министерство архитектуры и градостроительства Сахалинской области</w:t>
            </w:r>
          </w:p>
        </w:tc>
      </w:tr>
      <w:tr>
        <w:tc>
          <w:tcPr>
            <w:tcW w:w="563" w:type="dxa"/>
          </w:tcPr>
          <w:p>
            <w:pPr>
              <w:pStyle w:val="0"/>
            </w:pPr>
            <w:r>
              <w:rPr>
                <w:sz w:val="20"/>
              </w:rPr>
              <w:t xml:space="preserve">9.</w:t>
            </w:r>
          </w:p>
        </w:tc>
        <w:tc>
          <w:tcPr>
            <w:vMerge w:val="continue"/>
          </w:tcPr>
          <w:p/>
        </w:tc>
        <w:tc>
          <w:tcPr>
            <w:tcW w:w="2154" w:type="dxa"/>
          </w:tcPr>
          <w:p>
            <w:pPr>
              <w:pStyle w:val="0"/>
            </w:pPr>
            <w:r>
              <w:rPr>
                <w:sz w:val="20"/>
              </w:rPr>
              <w:t xml:space="preserve">Заключение соглашений между ресурсоснабжающими организациями муниципальных образований Сахалинской области о взаимодействии при согласовании трасс инженерных сетей в системе обеспечения градостроительной деятельности</w:t>
            </w:r>
          </w:p>
        </w:tc>
        <w:tc>
          <w:tcPr>
            <w:tcW w:w="1984" w:type="dxa"/>
          </w:tcPr>
          <w:p>
            <w:pPr>
              <w:pStyle w:val="0"/>
            </w:pPr>
            <w:r>
              <w:rPr>
                <w:sz w:val="20"/>
              </w:rPr>
              <w:t xml:space="preserve">Заключены соглашения:</w:t>
            </w:r>
          </w:p>
          <w:p>
            <w:pPr>
              <w:pStyle w:val="0"/>
            </w:pPr>
            <w:r>
              <w:rPr>
                <w:sz w:val="20"/>
              </w:rPr>
              <w:t xml:space="preserve">до 31.12.2026 - в 4 муниципальных образованиях;</w:t>
            </w:r>
          </w:p>
          <w:p>
            <w:pPr>
              <w:pStyle w:val="0"/>
            </w:pPr>
            <w:r>
              <w:rPr>
                <w:sz w:val="20"/>
              </w:rPr>
              <w:t xml:space="preserve">до 31.12.2027 - в 9 муниципальных образованиях</w:t>
            </w:r>
          </w:p>
        </w:tc>
        <w:tc>
          <w:tcPr>
            <w:tcW w:w="1276" w:type="dxa"/>
          </w:tcPr>
          <w:p>
            <w:pPr>
              <w:pStyle w:val="0"/>
            </w:pPr>
            <w:r>
              <w:rPr>
                <w:sz w:val="20"/>
              </w:rPr>
              <w:t xml:space="preserve">Соглашение о взаимодействии при согласовании трасс инженерных сетей</w:t>
            </w:r>
          </w:p>
        </w:tc>
        <w:tc>
          <w:tcPr>
            <w:tcW w:w="1701" w:type="dxa"/>
          </w:tcPr>
          <w:p>
            <w:pPr>
              <w:pStyle w:val="0"/>
            </w:pPr>
            <w:r>
              <w:rPr>
                <w:sz w:val="20"/>
              </w:rPr>
              <w:t xml:space="preserve">Соглашение</w:t>
            </w:r>
          </w:p>
        </w:tc>
        <w:tc>
          <w:tcPr>
            <w:tcW w:w="1276" w:type="dxa"/>
          </w:tcPr>
          <w:p>
            <w:pPr>
              <w:pStyle w:val="0"/>
              <w:jc w:val="center"/>
            </w:pPr>
            <w:r>
              <w:rPr>
                <w:sz w:val="20"/>
              </w:rPr>
              <w:t xml:space="preserve">До 31.12.2027</w:t>
            </w:r>
          </w:p>
        </w:tc>
        <w:tc>
          <w:tcPr>
            <w:tcW w:w="1644" w:type="dxa"/>
          </w:tcPr>
          <w:p>
            <w:pPr>
              <w:pStyle w:val="0"/>
            </w:pPr>
            <w:r>
              <w:rPr>
                <w:sz w:val="20"/>
              </w:rPr>
              <w:t xml:space="preserve">Министерство жилищно-коммунального хозяйства Сахалинской области, министерство архитектуры и градостроительства Сахалинской области</w:t>
            </w:r>
          </w:p>
        </w:tc>
      </w:tr>
      <w:tr>
        <w:tc>
          <w:tcPr>
            <w:tcW w:w="563" w:type="dxa"/>
          </w:tcPr>
          <w:p>
            <w:pPr>
              <w:pStyle w:val="0"/>
            </w:pPr>
            <w:r>
              <w:rPr>
                <w:sz w:val="20"/>
              </w:rPr>
              <w:t xml:space="preserve">10.</w:t>
            </w:r>
          </w:p>
        </w:tc>
        <w:tc>
          <w:tcPr>
            <w:vMerge w:val="continue"/>
          </w:tcPr>
          <w:p/>
        </w:tc>
        <w:tc>
          <w:tcPr>
            <w:tcW w:w="2154" w:type="dxa"/>
          </w:tcPr>
          <w:p>
            <w:pPr>
              <w:pStyle w:val="0"/>
            </w:pPr>
            <w:r>
              <w:rPr>
                <w:sz w:val="20"/>
              </w:rPr>
              <w:t xml:space="preserve">Информирование предпринимателей о процессе технологического присоединения к сетям водоотведения до заключения договора о подключении</w:t>
            </w:r>
          </w:p>
        </w:tc>
        <w:tc>
          <w:tcPr>
            <w:tcW w:w="1984" w:type="dxa"/>
          </w:tcPr>
          <w:p>
            <w:pPr>
              <w:pStyle w:val="0"/>
            </w:pPr>
            <w:r>
              <w:rPr>
                <w:sz w:val="20"/>
              </w:rPr>
              <w:t xml:space="preserve">Снижение времени подключения к сетям водоснабжения за счет повышения качества подаваемых документов</w:t>
            </w:r>
          </w:p>
        </w:tc>
        <w:tc>
          <w:tcPr>
            <w:tcW w:w="1276" w:type="dxa"/>
          </w:tcPr>
          <w:p>
            <w:pPr>
              <w:pStyle w:val="0"/>
              <w:jc w:val="center"/>
            </w:pPr>
            <w:r>
              <w:rPr>
                <w:sz w:val="20"/>
              </w:rPr>
              <w:t xml:space="preserve">-</w:t>
            </w:r>
          </w:p>
        </w:tc>
        <w:tc>
          <w:tcPr>
            <w:tcW w:w="1701" w:type="dxa"/>
          </w:tcPr>
          <w:p>
            <w:pPr>
              <w:pStyle w:val="0"/>
            </w:pPr>
            <w:r>
              <w:rPr>
                <w:sz w:val="20"/>
              </w:rPr>
              <w:t xml:space="preserve">Официальные сайты ресурсоснабжающих организаций</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жилищно-коммунального хозяйства Сахалинской области</w:t>
            </w:r>
          </w:p>
        </w:tc>
      </w:tr>
      <w:tr>
        <w:tc>
          <w:tcPr>
            <w:tcW w:w="563" w:type="dxa"/>
          </w:tcPr>
          <w:p>
            <w:pPr>
              <w:pStyle w:val="0"/>
            </w:pPr>
            <w:r>
              <w:rPr>
                <w:sz w:val="20"/>
              </w:rPr>
              <w:t xml:space="preserve">11.</w:t>
            </w:r>
          </w:p>
        </w:tc>
        <w:tc>
          <w:tcPr>
            <w:vMerge w:val="continue"/>
          </w:tcPr>
          <w:p/>
        </w:tc>
        <w:tc>
          <w:tcPr>
            <w:tcW w:w="2154" w:type="dxa"/>
          </w:tcPr>
          <w:p>
            <w:pPr>
              <w:pStyle w:val="0"/>
            </w:pPr>
            <w:r>
              <w:rPr>
                <w:sz w:val="20"/>
              </w:rPr>
              <w:t xml:space="preserve">Выявление проблемных вопросов бизнеса при осуществлении технологического присоединения к сетям водоотведения</w:t>
            </w:r>
          </w:p>
        </w:tc>
        <w:tc>
          <w:tcPr>
            <w:tcW w:w="1984" w:type="dxa"/>
          </w:tcPr>
          <w:p>
            <w:pPr>
              <w:pStyle w:val="0"/>
            </w:pPr>
            <w:r>
              <w:rPr>
                <w:sz w:val="20"/>
              </w:rPr>
              <w:t xml:space="preserve">Решение проблемных вопросов на ранней стадии технологического присоединения</w:t>
            </w:r>
          </w:p>
        </w:tc>
        <w:tc>
          <w:tcPr>
            <w:tcW w:w="1276" w:type="dxa"/>
          </w:tcPr>
          <w:p>
            <w:pPr>
              <w:pStyle w:val="0"/>
            </w:pPr>
            <w:r>
              <w:rPr>
                <w:sz w:val="20"/>
              </w:rPr>
              <w:t xml:space="preserve">Протокол заседания рабочей группы</w:t>
            </w:r>
          </w:p>
        </w:tc>
        <w:tc>
          <w:tcPr>
            <w:tcW w:w="1701" w:type="dxa"/>
          </w:tcPr>
          <w:p>
            <w:pPr>
              <w:pStyle w:val="0"/>
            </w:pPr>
            <w:r>
              <w:rPr>
                <w:sz w:val="20"/>
              </w:rPr>
              <w:t xml:space="preserve">Инвестиционный портал Сахалинской области</w:t>
            </w:r>
          </w:p>
        </w:tc>
        <w:tc>
          <w:tcPr>
            <w:tcW w:w="1276" w:type="dxa"/>
          </w:tcPr>
          <w:p>
            <w:pPr>
              <w:pStyle w:val="0"/>
              <w:jc w:val="center"/>
            </w:pPr>
            <w:r>
              <w:rPr>
                <w:sz w:val="20"/>
              </w:rPr>
              <w:t xml:space="preserve">Ежемесячно до 01.07.2030</w:t>
            </w:r>
          </w:p>
        </w:tc>
        <w:tc>
          <w:tcPr>
            <w:tcW w:w="1644" w:type="dxa"/>
          </w:tcPr>
          <w:p>
            <w:pPr>
              <w:pStyle w:val="0"/>
            </w:pPr>
            <w:r>
              <w:rPr>
                <w:sz w:val="20"/>
              </w:rPr>
              <w:t xml:space="preserve">Министерство жилищно-коммунального хозяйства Сахалинской области</w:t>
            </w:r>
          </w:p>
        </w:tc>
      </w:tr>
      <w:tr>
        <w:tc>
          <w:tcPr>
            <w:tcW w:w="563" w:type="dxa"/>
          </w:tcPr>
          <w:p>
            <w:pPr>
              <w:pStyle w:val="0"/>
            </w:pPr>
            <w:r>
              <w:rPr>
                <w:sz w:val="20"/>
              </w:rPr>
              <w:t xml:space="preserve">12.</w:t>
            </w:r>
          </w:p>
        </w:tc>
        <w:tc>
          <w:tcPr>
            <w:vMerge w:val="continue"/>
          </w:tcPr>
          <w:p/>
        </w:tc>
        <w:tc>
          <w:tcPr>
            <w:tcW w:w="2154" w:type="dxa"/>
          </w:tcPr>
          <w:p>
            <w:pPr>
              <w:pStyle w:val="0"/>
            </w:pPr>
            <w:r>
              <w:rPr>
                <w:sz w:val="20"/>
              </w:rPr>
              <w:t xml:space="preserve">Информирование предпринимателей о возможности и преимуществах предоставления услуги технологического присоединения к сетям водоотведения в электронном виде</w:t>
            </w:r>
          </w:p>
        </w:tc>
        <w:tc>
          <w:tcPr>
            <w:tcW w:w="1984" w:type="dxa"/>
          </w:tcPr>
          <w:p>
            <w:pPr>
              <w:pStyle w:val="0"/>
            </w:pPr>
            <w:r>
              <w:rPr>
                <w:sz w:val="20"/>
              </w:rPr>
              <w:t xml:space="preserve">Перевод максимального количества заявок в электронный вид</w:t>
            </w:r>
          </w:p>
        </w:tc>
        <w:tc>
          <w:tcPr>
            <w:tcW w:w="1276" w:type="dxa"/>
          </w:tcPr>
          <w:p>
            <w:pPr>
              <w:pStyle w:val="0"/>
              <w:jc w:val="center"/>
            </w:pPr>
            <w:r>
              <w:rPr>
                <w:sz w:val="20"/>
              </w:rPr>
              <w:t xml:space="preserve">-</w:t>
            </w:r>
          </w:p>
        </w:tc>
        <w:tc>
          <w:tcPr>
            <w:tcW w:w="1701" w:type="dxa"/>
          </w:tcPr>
          <w:p>
            <w:pPr>
              <w:pStyle w:val="0"/>
            </w:pPr>
            <w:r>
              <w:rPr>
                <w:sz w:val="20"/>
              </w:rPr>
              <w:t xml:space="preserve">Официальные сайты ресурсоснабжающих организаций</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жилищно-коммунального хозяйства Сахалинской области</w:t>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9</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1055" w:name="P1055"/>
    <w:bookmarkEnd w:id="1055"/>
    <w:p>
      <w:pPr>
        <w:pStyle w:val="2"/>
        <w:jc w:val="center"/>
      </w:pPr>
      <w:r>
        <w:rPr>
          <w:sz w:val="20"/>
        </w:rPr>
        <w:t xml:space="preserve">ПЛАН</w:t>
      </w:r>
    </w:p>
    <w:p>
      <w:pPr>
        <w:pStyle w:val="2"/>
        <w:jc w:val="center"/>
      </w:pPr>
      <w:r>
        <w:rPr>
          <w:sz w:val="20"/>
        </w:rPr>
        <w:t xml:space="preserve">МЕРОПРИЯТИЙ ("ДОРОЖНАЯ КАРТА")</w:t>
      </w:r>
    </w:p>
    <w:p>
      <w:pPr>
        <w:pStyle w:val="2"/>
        <w:jc w:val="center"/>
      </w:pPr>
      <w:r>
        <w:rPr>
          <w:sz w:val="20"/>
        </w:rPr>
        <w:t xml:space="preserve">ПО ДОСТИЖЕНИЮ ЦЕЛЕВЫХ ЗНАЧЕНИЙ КЛЮЧЕВЫХ ПОКАЗАТЕЛЕЙ</w:t>
      </w:r>
    </w:p>
    <w:p>
      <w:pPr>
        <w:pStyle w:val="2"/>
        <w:jc w:val="center"/>
      </w:pPr>
      <w:r>
        <w:rPr>
          <w:sz w:val="20"/>
        </w:rPr>
        <w:t xml:space="preserve">ЭФФЕКТИВНОСТИ НАЦИОНАЛЬНОЙ МОДЕЛИ ПО ФАКТОРУ</w:t>
      </w:r>
    </w:p>
    <w:p>
      <w:pPr>
        <w:pStyle w:val="2"/>
        <w:jc w:val="center"/>
      </w:pPr>
      <w:r>
        <w:rPr>
          <w:sz w:val="20"/>
        </w:rPr>
        <w:t xml:space="preserve">"ЭФФЕКТИВНОСТЬ ПРОЦЕДУР ПО ВВОДУ ОБЪЕКТА В ЭКСПЛУАТАЦИЮ"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5" w:tooltip="Распоряжение Губернатора Сахалинской области от 14.11.2025 N 286-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вместе с &quot;Планом мероприятий (&quot;дорожная карта&quot;) по достижению целевых значений ключевых показателей эффективности Национальной модели по фактору &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14.11.2025 N 286-р)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2154"/>
        <w:gridCol w:w="1984"/>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2154" w:type="dxa"/>
          </w:tcPr>
          <w:p>
            <w:pPr>
              <w:pStyle w:val="0"/>
              <w:jc w:val="center"/>
            </w:pPr>
            <w:r>
              <w:rPr>
                <w:sz w:val="20"/>
              </w:rPr>
              <w:t xml:space="preserve">Наименование мероприятия</w:t>
            </w:r>
          </w:p>
        </w:tc>
        <w:tc>
          <w:tcPr>
            <w:tcW w:w="1984"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2154" w:type="dxa"/>
          </w:tcPr>
          <w:p>
            <w:pPr>
              <w:pStyle w:val="0"/>
              <w:jc w:val="center"/>
            </w:pPr>
            <w:r>
              <w:rPr>
                <w:sz w:val="20"/>
              </w:rPr>
              <w:t xml:space="preserve">3</w:t>
            </w:r>
          </w:p>
        </w:tc>
        <w:tc>
          <w:tcPr>
            <w:tcW w:w="1984"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1.2.1 "Среднее время получения разрешения на ввод объекта в эксплуатацию"</w:t>
            </w:r>
          </w:p>
        </w:tc>
        <w:tc>
          <w:tcPr>
            <w:tcW w:w="2154" w:type="dxa"/>
          </w:tcPr>
          <w:p>
            <w:pPr>
              <w:pStyle w:val="0"/>
            </w:pPr>
            <w:r>
              <w:rPr>
                <w:sz w:val="20"/>
              </w:rPr>
              <w:t xml:space="preserve">Приведение административных регламентов предоставления муниципальной услуги по выдаче разрешений на ввод объекта в эксплуатацию в соответствии с Градостроительным кодексом Российской Федерации в части исключения требования излишних документов, таких как:</w:t>
            </w:r>
          </w:p>
          <w:p>
            <w:pPr>
              <w:pStyle w:val="0"/>
            </w:pPr>
            <w:r>
              <w:rPr>
                <w:sz w:val="20"/>
              </w:rPr>
              <w:t xml:space="preserve">- договора обязательного страхования гражданской ответственности владельца опасного объекта;</w:t>
            </w:r>
          </w:p>
          <w:p>
            <w:pPr>
              <w:pStyle w:val="0"/>
            </w:pPr>
            <w:r>
              <w:rPr>
                <w:sz w:val="20"/>
              </w:rPr>
              <w:t xml:space="preserve">- градостроительного плана земельного участка</w:t>
            </w:r>
          </w:p>
        </w:tc>
        <w:tc>
          <w:tcPr>
            <w:tcW w:w="1984" w:type="dxa"/>
          </w:tcPr>
          <w:p>
            <w:pPr>
              <w:pStyle w:val="0"/>
            </w:pPr>
            <w:r>
              <w:rPr>
                <w:sz w:val="20"/>
              </w:rPr>
              <w:t xml:space="preserve">Сокращение количества документов, необходимых для получения разрешения на ввод объекта в эксплуатацию</w:t>
            </w:r>
          </w:p>
        </w:tc>
        <w:tc>
          <w:tcPr>
            <w:tcW w:w="1276" w:type="dxa"/>
          </w:tcPr>
          <w:p>
            <w:pPr>
              <w:pStyle w:val="0"/>
            </w:pPr>
            <w:r>
              <w:rPr>
                <w:sz w:val="20"/>
              </w:rPr>
              <w:t xml:space="preserve">Правовой акт муниципального образования</w:t>
            </w:r>
          </w:p>
        </w:tc>
        <w:tc>
          <w:tcPr>
            <w:tcW w:w="1701" w:type="dxa"/>
          </w:tcPr>
          <w:p>
            <w:pPr>
              <w:pStyle w:val="0"/>
            </w:pPr>
            <w:r>
              <w:rPr>
                <w:sz w:val="20"/>
              </w:rPr>
              <w:t xml:space="preserve">Административный регламент</w:t>
            </w:r>
          </w:p>
        </w:tc>
        <w:tc>
          <w:tcPr>
            <w:tcW w:w="1276" w:type="dxa"/>
          </w:tcPr>
          <w:p>
            <w:pPr>
              <w:pStyle w:val="0"/>
              <w:jc w:val="center"/>
            </w:pPr>
            <w:r>
              <w:rPr>
                <w:sz w:val="20"/>
              </w:rPr>
              <w:t xml:space="preserve">До 01.11.2025</w:t>
            </w:r>
          </w:p>
        </w:tc>
        <w:tc>
          <w:tcPr>
            <w:tcW w:w="1644" w:type="dxa"/>
          </w:tcPr>
          <w:p>
            <w:pPr>
              <w:pStyle w:val="0"/>
            </w:pPr>
            <w:r>
              <w:rPr>
                <w:sz w:val="20"/>
              </w:rPr>
              <w:t xml:space="preserve">Министерство строительства Сахалинской области, муниципальные образования Сахалинской области</w:t>
            </w:r>
          </w:p>
        </w:tc>
      </w:tr>
      <w:tr>
        <w:tc>
          <w:tcPr>
            <w:tcW w:w="563" w:type="dxa"/>
          </w:tcPr>
          <w:p>
            <w:pPr>
              <w:pStyle w:val="0"/>
            </w:pPr>
            <w:r>
              <w:rPr>
                <w:sz w:val="20"/>
              </w:rPr>
              <w:t xml:space="preserve">2.</w:t>
            </w:r>
          </w:p>
        </w:tc>
        <w:tc>
          <w:tcPr>
            <w:vMerge w:val="continue"/>
          </w:tcPr>
          <w:p/>
        </w:tc>
        <w:tc>
          <w:tcPr>
            <w:tcW w:w="2154" w:type="dxa"/>
          </w:tcPr>
          <w:p>
            <w:pPr>
              <w:pStyle w:val="0"/>
            </w:pPr>
            <w:r>
              <w:rPr>
                <w:sz w:val="20"/>
              </w:rPr>
              <w:t xml:space="preserve">Информирование предпринимателей об услугах в сфере градостроительной деятельности и возможностях их предоставления через информационные ресурсы муниципальных образований</w:t>
            </w:r>
          </w:p>
        </w:tc>
        <w:tc>
          <w:tcPr>
            <w:tcW w:w="1984" w:type="dxa"/>
          </w:tcPr>
          <w:p>
            <w:pPr>
              <w:pStyle w:val="0"/>
            </w:pPr>
            <w:r>
              <w:rPr>
                <w:sz w:val="20"/>
              </w:rPr>
              <w:t xml:space="preserve">Доля выданных разрешений на ввод объекта в эксплуатацию в электронном виде от общего количества выданных разрешений:</w:t>
            </w:r>
          </w:p>
          <w:p>
            <w:pPr>
              <w:pStyle w:val="0"/>
            </w:pPr>
            <w:r>
              <w:rPr>
                <w:sz w:val="20"/>
              </w:rPr>
              <w:t xml:space="preserve">до 31.12.2026 - не менее 96%;</w:t>
            </w:r>
          </w:p>
          <w:p>
            <w:pPr>
              <w:pStyle w:val="0"/>
            </w:pPr>
            <w:r>
              <w:rPr>
                <w:sz w:val="20"/>
              </w:rPr>
              <w:t xml:space="preserve">до 31.12.2027 - не менее 97%;</w:t>
            </w:r>
          </w:p>
          <w:p>
            <w:pPr>
              <w:pStyle w:val="0"/>
            </w:pPr>
            <w:r>
              <w:rPr>
                <w:sz w:val="20"/>
              </w:rPr>
              <w:t xml:space="preserve">до 31.12.2028 - не менее 98%;</w:t>
            </w:r>
          </w:p>
          <w:p>
            <w:pPr>
              <w:pStyle w:val="0"/>
            </w:pPr>
            <w:r>
              <w:rPr>
                <w:sz w:val="20"/>
              </w:rPr>
              <w:t xml:space="preserve">до 31.12.2029 - не менее 99%;</w:t>
            </w:r>
          </w:p>
          <w:p>
            <w:pPr>
              <w:pStyle w:val="0"/>
            </w:pPr>
            <w:r>
              <w:rPr>
                <w:sz w:val="20"/>
              </w:rPr>
              <w:t xml:space="preserve">до 01.07.2030 - не менее 100%</w:t>
            </w:r>
          </w:p>
        </w:tc>
        <w:tc>
          <w:tcPr>
            <w:tcW w:w="1276" w:type="dxa"/>
          </w:tcPr>
          <w:p>
            <w:pPr>
              <w:pStyle w:val="0"/>
            </w:pPr>
            <w:r>
              <w:rPr>
                <w:sz w:val="20"/>
              </w:rPr>
              <w:t xml:space="preserve">-</w:t>
            </w:r>
          </w:p>
        </w:tc>
        <w:tc>
          <w:tcPr>
            <w:tcW w:w="1701" w:type="dxa"/>
          </w:tcPr>
          <w:p>
            <w:pPr>
              <w:pStyle w:val="0"/>
            </w:pPr>
            <w:r>
              <w:rPr>
                <w:sz w:val="20"/>
              </w:rPr>
              <w:t xml:space="preserve">Государственная информационная система обеспечения градостроительной деятельности Сахалинской области</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строительства Сахалинской области, муниципальные образования Сахалинской области</w:t>
            </w:r>
          </w:p>
        </w:tc>
      </w:tr>
      <w:tr>
        <w:tc>
          <w:tcPr>
            <w:tcW w:w="563" w:type="dxa"/>
          </w:tcPr>
          <w:p>
            <w:pPr>
              <w:pStyle w:val="0"/>
            </w:pPr>
            <w:r>
              <w:rPr>
                <w:sz w:val="20"/>
              </w:rPr>
              <w:t xml:space="preserve">3.</w:t>
            </w:r>
          </w:p>
        </w:tc>
        <w:tc>
          <w:tcPr>
            <w:tcW w:w="1644" w:type="dxa"/>
          </w:tcPr>
          <w:p>
            <w:pPr>
              <w:pStyle w:val="0"/>
            </w:pPr>
            <w:r>
              <w:rPr>
                <w:sz w:val="20"/>
              </w:rPr>
              <w:t xml:space="preserve">1.2.2 "Среднее количество процедур для получения разрешения на ввод объекта в эксплуатацию"</w:t>
            </w:r>
          </w:p>
        </w:tc>
        <w:tc>
          <w:tcPr>
            <w:tcW w:w="2154" w:type="dxa"/>
          </w:tcPr>
          <w:p>
            <w:pPr>
              <w:pStyle w:val="0"/>
            </w:pPr>
            <w:r>
              <w:rPr>
                <w:sz w:val="20"/>
              </w:rPr>
              <w:t xml:space="preserve">Консультирование предпринимателей о необходимом пакете документов и возможных способах подачи для получения разрешения на ввод объекта в эксплуатацию</w:t>
            </w:r>
          </w:p>
        </w:tc>
        <w:tc>
          <w:tcPr>
            <w:tcW w:w="1984" w:type="dxa"/>
          </w:tcPr>
          <w:p>
            <w:pPr>
              <w:pStyle w:val="0"/>
            </w:pPr>
            <w:r>
              <w:rPr>
                <w:sz w:val="20"/>
              </w:rPr>
              <w:t xml:space="preserve">Сокращение количества процедур за счет предоставления полного пакета документов заявителем</w:t>
            </w:r>
          </w:p>
        </w:tc>
        <w:tc>
          <w:tcPr>
            <w:tcW w:w="1276" w:type="dxa"/>
          </w:tcPr>
          <w:p>
            <w:pPr>
              <w:pStyle w:val="0"/>
              <w:jc w:val="center"/>
            </w:pPr>
            <w:r>
              <w:rPr>
                <w:sz w:val="20"/>
              </w:rPr>
              <w:t xml:space="preserve">-</w:t>
            </w:r>
          </w:p>
        </w:tc>
        <w:tc>
          <w:tcPr>
            <w:tcW w:w="1701" w:type="dxa"/>
          </w:tcPr>
          <w:p>
            <w:pPr>
              <w:pStyle w:val="0"/>
            </w:pPr>
            <w:r>
              <w:rPr>
                <w:sz w:val="20"/>
              </w:rPr>
              <w:t xml:space="preserve">Система оценки качества предоставления услуг для бизнеса в Сахалинской области</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Министерство строительства Сахалинской области, муниципальные образования Сахалинской области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10</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1120" w:name="P1120"/>
    <w:bookmarkEnd w:id="1120"/>
    <w:p>
      <w:pPr>
        <w:pStyle w:val="2"/>
        <w:jc w:val="center"/>
      </w:pPr>
      <w:r>
        <w:rPr>
          <w:sz w:val="20"/>
        </w:rPr>
        <w:t xml:space="preserve">ПЛАН МЕРОПРИЯТИЙ</w:t>
      </w:r>
    </w:p>
    <w:p>
      <w:pPr>
        <w:pStyle w:val="2"/>
        <w:jc w:val="center"/>
      </w:pPr>
      <w:r>
        <w:rPr>
          <w:sz w:val="20"/>
        </w:rPr>
        <w:t xml:space="preserve">("ДОРОЖНАЯ КАРТА") ПО ДОСТИЖЕНИЮ КЛЮЧЕВЫХ ПОКАЗАТЕЛЕЙ</w:t>
      </w:r>
    </w:p>
    <w:p>
      <w:pPr>
        <w:pStyle w:val="2"/>
        <w:jc w:val="center"/>
      </w:pPr>
      <w:r>
        <w:rPr>
          <w:sz w:val="20"/>
        </w:rPr>
        <w:t xml:space="preserve">ЭФФЕКТИВНОСТИ НАЦИОНАЛЬНОЙ МОДЕЛИ ПО ФАКТОРУ</w:t>
      </w:r>
    </w:p>
    <w:p>
      <w:pPr>
        <w:pStyle w:val="2"/>
        <w:jc w:val="center"/>
      </w:pPr>
      <w:r>
        <w:rPr>
          <w:sz w:val="20"/>
        </w:rPr>
        <w:t xml:space="preserve">"АДМИНИСТРАТИВНОЕ ДАВЛЕНИЕ НА БИЗНЕС"</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1644"/>
        <w:gridCol w:w="1587"/>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1644" w:type="dxa"/>
          </w:tcPr>
          <w:p>
            <w:pPr>
              <w:pStyle w:val="0"/>
              <w:jc w:val="center"/>
            </w:pPr>
            <w:r>
              <w:rPr>
                <w:sz w:val="20"/>
              </w:rPr>
              <w:t xml:space="preserve">Наименование мероприятия</w:t>
            </w:r>
          </w:p>
        </w:tc>
        <w:tc>
          <w:tcPr>
            <w:tcW w:w="1587"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1644" w:type="dxa"/>
          </w:tcPr>
          <w:p>
            <w:pPr>
              <w:pStyle w:val="0"/>
              <w:jc w:val="center"/>
            </w:pPr>
            <w:r>
              <w:rPr>
                <w:sz w:val="20"/>
              </w:rPr>
              <w:t xml:space="preserve">3</w:t>
            </w:r>
          </w:p>
        </w:tc>
        <w:tc>
          <w:tcPr>
            <w:tcW w:w="1587"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3.2.1 (3.2.1.1) "Среднее количество контрольных (надзорных) мероприятий в год"</w:t>
            </w:r>
          </w:p>
          <w:p>
            <w:pPr>
              <w:pStyle w:val="0"/>
            </w:pPr>
            <w:r>
              <w:rPr>
                <w:sz w:val="20"/>
              </w:rPr>
              <w:t xml:space="preserve">3.2.4 "Доля коммерческих организаций, в отношении которых проведены контрольные (надзорные) мероприятия, от общего числа подконтрольных"</w:t>
            </w:r>
          </w:p>
        </w:tc>
        <w:tc>
          <w:tcPr>
            <w:tcW w:w="1644" w:type="dxa"/>
          </w:tcPr>
          <w:p>
            <w:pPr>
              <w:pStyle w:val="0"/>
            </w:pPr>
            <w:r>
              <w:rPr>
                <w:sz w:val="20"/>
              </w:rPr>
              <w:t xml:space="preserve">Пересмотр присвоенной ранее категории риска для подконтрольного субъекта</w:t>
            </w:r>
          </w:p>
        </w:tc>
        <w:tc>
          <w:tcPr>
            <w:tcW w:w="1587" w:type="dxa"/>
            <w:vMerge w:val="restart"/>
          </w:tcPr>
          <w:p>
            <w:pPr>
              <w:pStyle w:val="0"/>
            </w:pPr>
            <w:r>
              <w:rPr>
                <w:sz w:val="20"/>
              </w:rPr>
              <w:t xml:space="preserve">Снижение количества проверок</w:t>
            </w:r>
          </w:p>
        </w:tc>
        <w:tc>
          <w:tcPr>
            <w:tcW w:w="1276" w:type="dxa"/>
          </w:tcPr>
          <w:p>
            <w:pPr>
              <w:pStyle w:val="0"/>
            </w:pPr>
            <w:r>
              <w:rPr>
                <w:sz w:val="20"/>
              </w:rPr>
              <w:t xml:space="preserve">Перечень субъектов с присвоенной категорией риска (до/после)</w:t>
            </w:r>
          </w:p>
        </w:tc>
        <w:tc>
          <w:tcPr>
            <w:tcW w:w="1701" w:type="dxa"/>
          </w:tcPr>
          <w:p>
            <w:pPr>
              <w:pStyle w:val="0"/>
            </w:pPr>
            <w:r>
              <w:rPr>
                <w:sz w:val="20"/>
              </w:rPr>
              <w:t xml:space="preserve">Официальный сайт надзорного органа (раздел "Контрольная (надзорная) деятельность"</w:t>
            </w:r>
          </w:p>
        </w:tc>
        <w:tc>
          <w:tcPr>
            <w:tcW w:w="1276" w:type="dxa"/>
          </w:tcPr>
          <w:p>
            <w:pPr>
              <w:pStyle w:val="0"/>
              <w:jc w:val="center"/>
            </w:pPr>
            <w:r>
              <w:rPr>
                <w:sz w:val="20"/>
              </w:rPr>
              <w:t xml:space="preserve">Ежеквартально до 10 числа до 01.07.2030</w:t>
            </w:r>
          </w:p>
        </w:tc>
        <w:tc>
          <w:tcPr>
            <w:tcW w:w="1644" w:type="dxa"/>
          </w:tcPr>
          <w:p>
            <w:pPr>
              <w:pStyle w:val="0"/>
            </w:pPr>
            <w:r>
              <w:rPr>
                <w:sz w:val="20"/>
              </w:rPr>
              <w:t xml:space="preserve">Исполнительные органы Сахалинской области, осуществляющие контрольную (надзорную) деятельность, муниципальные образования Сахалинской области</w:t>
            </w:r>
          </w:p>
        </w:tc>
      </w:tr>
      <w:tr>
        <w:tc>
          <w:tcPr>
            <w:tcW w:w="563" w:type="dxa"/>
          </w:tcPr>
          <w:p>
            <w:pPr>
              <w:pStyle w:val="0"/>
            </w:pPr>
            <w:r>
              <w:rPr>
                <w:sz w:val="20"/>
              </w:rPr>
              <w:t xml:space="preserve">2.</w:t>
            </w:r>
          </w:p>
        </w:tc>
        <w:tc>
          <w:tcPr>
            <w:vMerge w:val="continue"/>
          </w:tcPr>
          <w:p/>
        </w:tc>
        <w:tc>
          <w:tcPr>
            <w:tcW w:w="1644" w:type="dxa"/>
          </w:tcPr>
          <w:p>
            <w:pPr>
              <w:pStyle w:val="0"/>
            </w:pPr>
            <w:r>
              <w:rPr>
                <w:sz w:val="20"/>
              </w:rPr>
              <w:t xml:space="preserve">Популяризация возможности пересмотра присвоенной ранее категории риска на более низкую категорию среди бизнес-сообщества</w:t>
            </w:r>
          </w:p>
        </w:tc>
        <w:tc>
          <w:tcPr>
            <w:vMerge w:val="continue"/>
          </w:tcPr>
          <w:p/>
        </w:tc>
        <w:tc>
          <w:tcPr>
            <w:tcW w:w="1276" w:type="dxa"/>
          </w:tcPr>
          <w:p>
            <w:pPr>
              <w:pStyle w:val="0"/>
            </w:pPr>
            <w:r>
              <w:rPr>
                <w:sz w:val="20"/>
              </w:rPr>
              <w:t xml:space="preserve">Реестр заявлений о пересмотре</w:t>
            </w:r>
          </w:p>
        </w:tc>
        <w:tc>
          <w:tcPr>
            <w:tcW w:w="1701" w:type="dxa"/>
          </w:tcPr>
          <w:p>
            <w:pPr>
              <w:pStyle w:val="0"/>
            </w:pPr>
            <w:r>
              <w:rPr>
                <w:sz w:val="20"/>
              </w:rPr>
              <w:t xml:space="preserve">Официальный сайт надзорного органа (раздел "Контрольная (надзорная) деятельность"</w:t>
            </w:r>
          </w:p>
        </w:tc>
        <w:tc>
          <w:tcPr>
            <w:tcW w:w="1276" w:type="dxa"/>
          </w:tcPr>
          <w:p>
            <w:pPr>
              <w:pStyle w:val="0"/>
              <w:jc w:val="center"/>
            </w:pPr>
            <w:r>
              <w:rPr>
                <w:sz w:val="20"/>
              </w:rPr>
              <w:t xml:space="preserve">Ежеквартально до 10 числа до 01.07.2030</w:t>
            </w:r>
          </w:p>
        </w:tc>
        <w:tc>
          <w:tcPr>
            <w:tcW w:w="1644" w:type="dxa"/>
          </w:tcPr>
          <w:p>
            <w:pPr>
              <w:pStyle w:val="0"/>
            </w:pPr>
            <w:r>
              <w:rPr>
                <w:sz w:val="20"/>
              </w:rPr>
              <w:t xml:space="preserve">Уполномоченный по защите прав предпринимателей в Сахалинской области</w:t>
            </w:r>
          </w:p>
        </w:tc>
      </w:tr>
      <w:tr>
        <w:tc>
          <w:tcPr>
            <w:tcW w:w="563" w:type="dxa"/>
          </w:tcPr>
          <w:p>
            <w:pPr>
              <w:pStyle w:val="0"/>
            </w:pPr>
            <w:r>
              <w:rPr>
                <w:sz w:val="20"/>
              </w:rPr>
              <w:t xml:space="preserve">3.</w:t>
            </w:r>
          </w:p>
        </w:tc>
        <w:tc>
          <w:tcPr>
            <w:vMerge w:val="continue"/>
          </w:tcPr>
          <w:p/>
        </w:tc>
        <w:tc>
          <w:tcPr>
            <w:tcW w:w="1644" w:type="dxa"/>
          </w:tcPr>
          <w:p>
            <w:pPr>
              <w:pStyle w:val="0"/>
            </w:pPr>
            <w:r>
              <w:rPr>
                <w:sz w:val="20"/>
              </w:rPr>
              <w:t xml:space="preserve">Сбор и анализ отчетности от контрольных (надзорных) органов о количестве пересмотренных категорий риска у подконтрольных субъектов</w:t>
            </w:r>
          </w:p>
        </w:tc>
        <w:tc>
          <w:tcPr>
            <w:vMerge w:val="continue"/>
          </w:tcPr>
          <w:p/>
        </w:tc>
        <w:tc>
          <w:tcPr>
            <w:tcW w:w="1276" w:type="dxa"/>
          </w:tcPr>
          <w:p>
            <w:pPr>
              <w:pStyle w:val="0"/>
            </w:pPr>
            <w:r>
              <w:rPr>
                <w:sz w:val="20"/>
              </w:rPr>
              <w:t xml:space="preserve">Аналитическая записка</w:t>
            </w:r>
          </w:p>
        </w:tc>
        <w:tc>
          <w:tcPr>
            <w:tcW w:w="1701" w:type="dxa"/>
          </w:tcPr>
          <w:p>
            <w:pPr>
              <w:pStyle w:val="0"/>
            </w:pPr>
            <w:r>
              <w:rPr>
                <w:sz w:val="20"/>
              </w:rPr>
              <w:t xml:space="preserve">Отчеты контрольных (надзорных) органов, Уполномоченного по защите прав предпринимателей в Сахалинской области</w:t>
            </w:r>
          </w:p>
        </w:tc>
        <w:tc>
          <w:tcPr>
            <w:tcW w:w="1276" w:type="dxa"/>
          </w:tcPr>
          <w:p>
            <w:pPr>
              <w:pStyle w:val="0"/>
              <w:jc w:val="center"/>
            </w:pPr>
            <w:r>
              <w:rPr>
                <w:sz w:val="20"/>
              </w:rPr>
              <w:t xml:space="preserve">01.10.2025, далее ежеквартально до 15 числа до 01.07.2030</w:t>
            </w:r>
          </w:p>
        </w:tc>
        <w:tc>
          <w:tcPr>
            <w:tcW w:w="1644" w:type="dxa"/>
          </w:tcPr>
          <w:p>
            <w:pPr>
              <w:pStyle w:val="0"/>
            </w:pPr>
            <w:r>
              <w:rPr>
                <w:sz w:val="20"/>
              </w:rPr>
              <w:t xml:space="preserve">Министерство цифрового и технологического развития Сахалинской области</w:t>
            </w:r>
          </w:p>
        </w:tc>
      </w:tr>
      <w:tr>
        <w:tc>
          <w:tcPr>
            <w:tcW w:w="563" w:type="dxa"/>
          </w:tcPr>
          <w:p>
            <w:pPr>
              <w:pStyle w:val="0"/>
            </w:pPr>
            <w:r>
              <w:rPr>
                <w:sz w:val="20"/>
              </w:rPr>
              <w:t xml:space="preserve">4.</w:t>
            </w:r>
          </w:p>
        </w:tc>
        <w:tc>
          <w:tcPr>
            <w:vMerge w:val="continue"/>
          </w:tcPr>
          <w:p/>
        </w:tc>
        <w:tc>
          <w:tcPr>
            <w:tcW w:w="1644" w:type="dxa"/>
          </w:tcPr>
          <w:p>
            <w:pPr>
              <w:pStyle w:val="0"/>
            </w:pPr>
            <w:r>
              <w:rPr>
                <w:sz w:val="20"/>
              </w:rPr>
              <w:t xml:space="preserve">Замена контрольного (надзорного) мероприятия на профилактический визит</w:t>
            </w:r>
          </w:p>
        </w:tc>
        <w:tc>
          <w:tcPr>
            <w:vMerge w:val="continue"/>
          </w:tcPr>
          <w:p/>
        </w:tc>
        <w:tc>
          <w:tcPr>
            <w:tcW w:w="1276" w:type="dxa"/>
          </w:tcPr>
          <w:p>
            <w:pPr>
              <w:pStyle w:val="0"/>
            </w:pPr>
            <w:r>
              <w:rPr>
                <w:sz w:val="20"/>
              </w:rPr>
              <w:t xml:space="preserve">Перечень субъектов, у которых проверка заменилась на профилактический визит</w:t>
            </w:r>
          </w:p>
        </w:tc>
        <w:tc>
          <w:tcPr>
            <w:tcW w:w="1701" w:type="dxa"/>
          </w:tcPr>
          <w:p>
            <w:pPr>
              <w:pStyle w:val="0"/>
            </w:pPr>
            <w:r>
              <w:rPr>
                <w:sz w:val="20"/>
              </w:rPr>
              <w:t xml:space="preserve">Официальный сайт надзорного органа (раздел "Контрольная (надзорная) деятельность"</w:t>
            </w:r>
          </w:p>
        </w:tc>
        <w:tc>
          <w:tcPr>
            <w:tcW w:w="1276" w:type="dxa"/>
          </w:tcPr>
          <w:p>
            <w:pPr>
              <w:pStyle w:val="0"/>
              <w:jc w:val="center"/>
            </w:pPr>
            <w:r>
              <w:rPr>
                <w:sz w:val="20"/>
              </w:rPr>
              <w:t xml:space="preserve">Ежеквартально до 10 числа до 01.07.2030</w:t>
            </w:r>
          </w:p>
        </w:tc>
        <w:tc>
          <w:tcPr>
            <w:tcW w:w="1644" w:type="dxa"/>
          </w:tcPr>
          <w:p>
            <w:pPr>
              <w:pStyle w:val="0"/>
            </w:pPr>
            <w:r>
              <w:rPr>
                <w:sz w:val="20"/>
              </w:rPr>
              <w:t xml:space="preserve">Исполнительные органы Сахалинской области, осуществляющие контрольную (надзорную) деятельность, муниципальные образования Сахалинской области</w:t>
            </w:r>
          </w:p>
        </w:tc>
      </w:tr>
      <w:tr>
        <w:tc>
          <w:tcPr>
            <w:tcW w:w="563" w:type="dxa"/>
          </w:tcPr>
          <w:p>
            <w:pPr>
              <w:pStyle w:val="0"/>
            </w:pPr>
            <w:r>
              <w:rPr>
                <w:sz w:val="20"/>
              </w:rPr>
              <w:t xml:space="preserve">5.</w:t>
            </w:r>
          </w:p>
        </w:tc>
        <w:tc>
          <w:tcPr>
            <w:vMerge w:val="continue"/>
          </w:tcPr>
          <w:p/>
        </w:tc>
        <w:tc>
          <w:tcPr>
            <w:tcW w:w="1644" w:type="dxa"/>
          </w:tcPr>
          <w:p>
            <w:pPr>
              <w:pStyle w:val="0"/>
            </w:pPr>
            <w:r>
              <w:rPr>
                <w:sz w:val="20"/>
              </w:rPr>
              <w:t xml:space="preserve">Популяризация возможности записи на профилактический визит среди бизнес-сообщества</w:t>
            </w:r>
          </w:p>
        </w:tc>
        <w:tc>
          <w:tcPr>
            <w:vMerge w:val="continue"/>
          </w:tcPr>
          <w:p/>
        </w:tc>
        <w:tc>
          <w:tcPr>
            <w:tcW w:w="1276" w:type="dxa"/>
          </w:tcPr>
          <w:p>
            <w:pPr>
              <w:pStyle w:val="0"/>
            </w:pPr>
            <w:r>
              <w:rPr>
                <w:sz w:val="20"/>
              </w:rPr>
              <w:t xml:space="preserve">Реестр заявлений о проведении профилактического визита</w:t>
            </w:r>
          </w:p>
        </w:tc>
        <w:tc>
          <w:tcPr>
            <w:tcW w:w="1701" w:type="dxa"/>
          </w:tcPr>
          <w:p>
            <w:pPr>
              <w:pStyle w:val="0"/>
            </w:pPr>
            <w:r>
              <w:rPr>
                <w:sz w:val="20"/>
              </w:rPr>
              <w:t xml:space="preserve">Официальный сайт надзорного органа (раздел "Контрольная (надзорная) деятельность"</w:t>
            </w:r>
          </w:p>
        </w:tc>
        <w:tc>
          <w:tcPr>
            <w:tcW w:w="1276" w:type="dxa"/>
          </w:tcPr>
          <w:p>
            <w:pPr>
              <w:pStyle w:val="0"/>
              <w:jc w:val="center"/>
            </w:pPr>
            <w:r>
              <w:rPr>
                <w:sz w:val="20"/>
              </w:rPr>
              <w:t xml:space="preserve">Ежеквартально до 10 числа до 01.07.2030</w:t>
            </w:r>
          </w:p>
        </w:tc>
        <w:tc>
          <w:tcPr>
            <w:tcW w:w="1644" w:type="dxa"/>
          </w:tcPr>
          <w:p>
            <w:pPr>
              <w:pStyle w:val="0"/>
            </w:pPr>
            <w:r>
              <w:rPr>
                <w:sz w:val="20"/>
              </w:rPr>
              <w:t xml:space="preserve">Уполномоченный по защите прав предпринимателей в Сахалинской области</w:t>
            </w:r>
          </w:p>
        </w:tc>
      </w:tr>
      <w:tr>
        <w:tc>
          <w:tcPr>
            <w:tcW w:w="563" w:type="dxa"/>
          </w:tcPr>
          <w:p>
            <w:pPr>
              <w:pStyle w:val="0"/>
            </w:pPr>
            <w:r>
              <w:rPr>
                <w:sz w:val="20"/>
              </w:rPr>
              <w:t xml:space="preserve">6.</w:t>
            </w:r>
          </w:p>
        </w:tc>
        <w:tc>
          <w:tcPr>
            <w:vMerge w:val="continue"/>
          </w:tcPr>
          <w:p/>
        </w:tc>
        <w:tc>
          <w:tcPr>
            <w:tcW w:w="1644" w:type="dxa"/>
          </w:tcPr>
          <w:p>
            <w:pPr>
              <w:pStyle w:val="0"/>
            </w:pPr>
            <w:r>
              <w:rPr>
                <w:sz w:val="20"/>
              </w:rPr>
              <w:t xml:space="preserve">Популяризация возможности записи на профилактический визит среди отраслевого бизнес-сообщества</w:t>
            </w:r>
          </w:p>
        </w:tc>
        <w:tc>
          <w:tcPr>
            <w:vMerge w:val="continue"/>
          </w:tcPr>
          <w:p/>
        </w:tc>
        <w:tc>
          <w:tcPr>
            <w:tcW w:w="1276" w:type="dxa"/>
          </w:tcPr>
          <w:p>
            <w:pPr>
              <w:pStyle w:val="0"/>
            </w:pPr>
            <w:r>
              <w:rPr>
                <w:sz w:val="20"/>
              </w:rPr>
              <w:t xml:space="preserve">Реестр заявлений о проведении профилактического визита</w:t>
            </w:r>
          </w:p>
        </w:tc>
        <w:tc>
          <w:tcPr>
            <w:tcW w:w="1701" w:type="dxa"/>
          </w:tcPr>
          <w:p>
            <w:pPr>
              <w:pStyle w:val="0"/>
            </w:pPr>
            <w:r>
              <w:rPr>
                <w:sz w:val="20"/>
              </w:rPr>
              <w:t xml:space="preserve">Официальный сайт надзорного органа (раздел "Контрольная (надзорная) деятельность"</w:t>
            </w:r>
          </w:p>
        </w:tc>
        <w:tc>
          <w:tcPr>
            <w:tcW w:w="1276" w:type="dxa"/>
          </w:tcPr>
          <w:p>
            <w:pPr>
              <w:pStyle w:val="0"/>
              <w:jc w:val="center"/>
            </w:pPr>
            <w:r>
              <w:rPr>
                <w:sz w:val="20"/>
              </w:rPr>
              <w:t xml:space="preserve">Ежеквартально до 10 числа до 01.07.2030</w:t>
            </w:r>
          </w:p>
        </w:tc>
        <w:tc>
          <w:tcPr>
            <w:tcW w:w="1644" w:type="dxa"/>
          </w:tcPr>
          <w:p>
            <w:pPr>
              <w:pStyle w:val="0"/>
            </w:pPr>
            <w:r>
              <w:rPr>
                <w:sz w:val="20"/>
              </w:rPr>
              <w:t xml:space="preserve">Исполнительные органы Сахалинской области, осуществляющие контрольную (надзорную) деятельность, муниципальные образования Сахалинской области</w:t>
            </w:r>
          </w:p>
        </w:tc>
      </w:tr>
      <w:tr>
        <w:tc>
          <w:tcPr>
            <w:tcW w:w="563" w:type="dxa"/>
          </w:tcPr>
          <w:p>
            <w:pPr>
              <w:pStyle w:val="0"/>
            </w:pPr>
            <w:r>
              <w:rPr>
                <w:sz w:val="20"/>
              </w:rPr>
              <w:t xml:space="preserve">7.</w:t>
            </w:r>
          </w:p>
        </w:tc>
        <w:tc>
          <w:tcPr>
            <w:vMerge w:val="continue"/>
          </w:tcPr>
          <w:p/>
        </w:tc>
        <w:tc>
          <w:tcPr>
            <w:tcW w:w="1644" w:type="dxa"/>
          </w:tcPr>
          <w:p>
            <w:pPr>
              <w:pStyle w:val="0"/>
            </w:pPr>
            <w:r>
              <w:rPr>
                <w:sz w:val="20"/>
              </w:rPr>
              <w:t xml:space="preserve">Сбор и анализ отчетности от контрольных (надзорных) органов о количестве подавших субъектов предпринимательства заявлений на профилактический визит (число отклоненных профилактических визитов с причиной и проведенных)</w:t>
            </w:r>
          </w:p>
        </w:tc>
        <w:tc>
          <w:tcPr>
            <w:vMerge w:val="continue"/>
          </w:tcPr>
          <w:p/>
        </w:tc>
        <w:tc>
          <w:tcPr>
            <w:tcW w:w="1276" w:type="dxa"/>
          </w:tcPr>
          <w:p>
            <w:pPr>
              <w:pStyle w:val="0"/>
            </w:pPr>
            <w:r>
              <w:rPr>
                <w:sz w:val="20"/>
              </w:rPr>
              <w:t xml:space="preserve">Аналитическая записка</w:t>
            </w:r>
          </w:p>
        </w:tc>
        <w:tc>
          <w:tcPr>
            <w:tcW w:w="1701" w:type="dxa"/>
          </w:tcPr>
          <w:p>
            <w:pPr>
              <w:pStyle w:val="0"/>
            </w:pPr>
            <w:r>
              <w:rPr>
                <w:sz w:val="20"/>
              </w:rPr>
              <w:t xml:space="preserve">Отчеты контрольных (надзорных) органов, Уполномоченного по защите прав предпринимателей в Сахалинской области</w:t>
            </w:r>
          </w:p>
        </w:tc>
        <w:tc>
          <w:tcPr>
            <w:tcW w:w="1276" w:type="dxa"/>
          </w:tcPr>
          <w:p>
            <w:pPr>
              <w:pStyle w:val="0"/>
              <w:jc w:val="center"/>
            </w:pPr>
            <w:r>
              <w:rPr>
                <w:sz w:val="20"/>
              </w:rPr>
              <w:t xml:space="preserve">15.10.2025, далее ежеквартально до 15 числа до 01.07.2030</w:t>
            </w:r>
          </w:p>
        </w:tc>
        <w:tc>
          <w:tcPr>
            <w:tcW w:w="1644" w:type="dxa"/>
          </w:tcPr>
          <w:p>
            <w:pPr>
              <w:pStyle w:val="0"/>
            </w:pPr>
            <w:r>
              <w:rPr>
                <w:sz w:val="20"/>
              </w:rPr>
              <w:t xml:space="preserve">Министерство цифрового и технологического развития Сахалинской области</w:t>
            </w:r>
          </w:p>
        </w:tc>
      </w:tr>
      <w:tr>
        <w:tc>
          <w:tcPr>
            <w:tcW w:w="563" w:type="dxa"/>
          </w:tcPr>
          <w:p>
            <w:pPr>
              <w:pStyle w:val="0"/>
            </w:pPr>
            <w:r>
              <w:rPr>
                <w:sz w:val="20"/>
              </w:rPr>
              <w:t xml:space="preserve">8.</w:t>
            </w:r>
          </w:p>
        </w:tc>
        <w:tc>
          <w:tcPr>
            <w:vMerge w:val="continue"/>
          </w:tcPr>
          <w:p/>
        </w:tc>
        <w:tc>
          <w:tcPr>
            <w:tcW w:w="1644" w:type="dxa"/>
          </w:tcPr>
          <w:p>
            <w:pPr>
              <w:pStyle w:val="0"/>
            </w:pPr>
            <w:r>
              <w:rPr>
                <w:sz w:val="20"/>
              </w:rPr>
              <w:t xml:space="preserve">Формирование оптимальных (минимальных) планов проверок на следующий период</w:t>
            </w:r>
          </w:p>
        </w:tc>
        <w:tc>
          <w:tcPr>
            <w:vMerge w:val="continue"/>
          </w:tcPr>
          <w:p/>
        </w:tc>
        <w:tc>
          <w:tcPr>
            <w:tcW w:w="1276" w:type="dxa"/>
          </w:tcPr>
          <w:p>
            <w:pPr>
              <w:pStyle w:val="0"/>
            </w:pPr>
            <w:r>
              <w:rPr>
                <w:sz w:val="20"/>
              </w:rPr>
              <w:t xml:space="preserve">Согласованный прокуратурой Сахалинской области план проверок</w:t>
            </w:r>
          </w:p>
        </w:tc>
        <w:tc>
          <w:tcPr>
            <w:tcW w:w="1701" w:type="dxa"/>
          </w:tcPr>
          <w:p>
            <w:pPr>
              <w:pStyle w:val="0"/>
            </w:pPr>
            <w:r>
              <w:rPr>
                <w:sz w:val="20"/>
              </w:rPr>
              <w:t xml:space="preserve">Официальный сайт надзорного органа (раздел "Контрольная (надзорная) деятельность"</w:t>
            </w:r>
          </w:p>
        </w:tc>
        <w:tc>
          <w:tcPr>
            <w:tcW w:w="1276" w:type="dxa"/>
          </w:tcPr>
          <w:p>
            <w:pPr>
              <w:pStyle w:val="0"/>
              <w:jc w:val="center"/>
            </w:pPr>
            <w:r>
              <w:rPr>
                <w:sz w:val="20"/>
              </w:rPr>
              <w:t xml:space="preserve">Ежегодно к 15 декабря до 01.07.2030</w:t>
            </w:r>
          </w:p>
        </w:tc>
        <w:tc>
          <w:tcPr>
            <w:tcW w:w="1644" w:type="dxa"/>
          </w:tcPr>
          <w:p>
            <w:pPr>
              <w:pStyle w:val="0"/>
            </w:pPr>
            <w:r>
              <w:rPr>
                <w:sz w:val="20"/>
              </w:rPr>
              <w:t xml:space="preserve">Исполнительные органы Сахалинской области, осуществляющие контрольную (надзорную) деятельность, муниципальные образования Сахалинской области</w:t>
            </w:r>
          </w:p>
        </w:tc>
      </w:tr>
      <w:tr>
        <w:tc>
          <w:tcPr>
            <w:tcW w:w="563" w:type="dxa"/>
          </w:tcPr>
          <w:p>
            <w:pPr>
              <w:pStyle w:val="0"/>
            </w:pPr>
            <w:r>
              <w:rPr>
                <w:sz w:val="20"/>
              </w:rPr>
              <w:t xml:space="preserve">9.</w:t>
            </w:r>
          </w:p>
        </w:tc>
        <w:tc>
          <w:tcPr>
            <w:tcW w:w="1644" w:type="dxa"/>
            <w:vMerge w:val="restart"/>
          </w:tcPr>
          <w:p>
            <w:pPr>
              <w:pStyle w:val="0"/>
            </w:pPr>
            <w:r>
              <w:rPr>
                <w:sz w:val="20"/>
              </w:rPr>
              <w:t xml:space="preserve">3.2.2 "Доля компаний, столкнувшихся со случаями коррупции со стороны органов власти или естественных монополий"</w:t>
            </w:r>
          </w:p>
        </w:tc>
        <w:tc>
          <w:tcPr>
            <w:tcW w:w="1644" w:type="dxa"/>
          </w:tcPr>
          <w:p>
            <w:pPr>
              <w:pStyle w:val="0"/>
            </w:pPr>
            <w:r>
              <w:rPr>
                <w:sz w:val="20"/>
              </w:rPr>
              <w:t xml:space="preserve">Информирование предпринимательского сообщества о контактных данных "горячих линий" прокуратуры, МВД и ФСБ с целью оперативного уведомления о случаях коррупционных проявлений</w:t>
            </w:r>
          </w:p>
        </w:tc>
        <w:tc>
          <w:tcPr>
            <w:tcW w:w="1587" w:type="dxa"/>
          </w:tcPr>
          <w:p>
            <w:pPr>
              <w:pStyle w:val="0"/>
            </w:pPr>
            <w:r>
              <w:rPr>
                <w:sz w:val="20"/>
              </w:rPr>
              <w:t xml:space="preserve">Предоставлены разъяснения о действиях при коррупционных проявлениях</w:t>
            </w:r>
          </w:p>
        </w:tc>
        <w:tc>
          <w:tcPr>
            <w:tcW w:w="1276" w:type="dxa"/>
          </w:tcPr>
          <w:p>
            <w:pPr>
              <w:pStyle w:val="0"/>
              <w:jc w:val="center"/>
            </w:pPr>
            <w:r>
              <w:rPr>
                <w:sz w:val="20"/>
              </w:rPr>
              <w:t xml:space="preserve">-</w:t>
            </w:r>
          </w:p>
        </w:tc>
        <w:tc>
          <w:tcPr>
            <w:tcW w:w="1701" w:type="dxa"/>
          </w:tcPr>
          <w:p>
            <w:pPr>
              <w:pStyle w:val="0"/>
            </w:pPr>
            <w:r>
              <w:rPr>
                <w:sz w:val="20"/>
              </w:rPr>
              <w:t xml:space="preserve">Протокол заседания рабочей группы по снижению административного давления на бизнес в Сахалинской области</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по взаимодействию с правоохранительными органами Правительства Сахалинской области</w:t>
            </w:r>
          </w:p>
        </w:tc>
      </w:tr>
      <w:tr>
        <w:tc>
          <w:tcPr>
            <w:tcW w:w="563" w:type="dxa"/>
          </w:tcPr>
          <w:p>
            <w:pPr>
              <w:pStyle w:val="0"/>
            </w:pPr>
            <w:r>
              <w:rPr>
                <w:sz w:val="20"/>
              </w:rPr>
              <w:t xml:space="preserve">10.</w:t>
            </w:r>
          </w:p>
        </w:tc>
        <w:tc>
          <w:tcPr>
            <w:vMerge w:val="continue"/>
          </w:tcPr>
          <w:p/>
        </w:tc>
        <w:tc>
          <w:tcPr>
            <w:tcW w:w="1644" w:type="dxa"/>
          </w:tcPr>
          <w:p>
            <w:pPr>
              <w:pStyle w:val="0"/>
            </w:pPr>
            <w:r>
              <w:rPr>
                <w:sz w:val="20"/>
              </w:rPr>
              <w:t xml:space="preserve">Информирование предпринимателей о возможности обращения к Уполномоченному по защите прав предпринимателей в Сахалинской области с жалобами о фактах коррупции</w:t>
            </w:r>
          </w:p>
        </w:tc>
        <w:tc>
          <w:tcPr>
            <w:tcW w:w="1587" w:type="dxa"/>
          </w:tcPr>
          <w:p>
            <w:pPr>
              <w:pStyle w:val="0"/>
            </w:pPr>
            <w:r>
              <w:rPr>
                <w:sz w:val="20"/>
              </w:rPr>
              <w:t xml:space="preserve">Выявление фактов коррупционной направленности со стороны органов власти или естественных монополий</w:t>
            </w:r>
          </w:p>
        </w:tc>
        <w:tc>
          <w:tcPr>
            <w:tcW w:w="1276" w:type="dxa"/>
          </w:tcPr>
          <w:p>
            <w:pPr>
              <w:pStyle w:val="0"/>
              <w:jc w:val="center"/>
            </w:pPr>
            <w:r>
              <w:rPr>
                <w:sz w:val="20"/>
              </w:rPr>
              <w:t xml:space="preserve">-</w:t>
            </w:r>
          </w:p>
        </w:tc>
        <w:tc>
          <w:tcPr>
            <w:tcW w:w="1701" w:type="dxa"/>
          </w:tcPr>
          <w:p>
            <w:pPr>
              <w:pStyle w:val="0"/>
            </w:pPr>
            <w:r>
              <w:rPr>
                <w:sz w:val="20"/>
              </w:rPr>
              <w:t xml:space="preserve">Система оценки качества предоставления услуг для бизнеса в Сахалинской области, ПОС.Бизнес</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по взаимодействию с правоохранительными органами Правительства Сахалинской области, Уполномоченный по защите прав предпринимателей в Сахалинской области</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11</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1217" w:name="P1217"/>
    <w:bookmarkEnd w:id="1217"/>
    <w:p>
      <w:pPr>
        <w:pStyle w:val="2"/>
        <w:jc w:val="center"/>
      </w:pPr>
      <w:r>
        <w:rPr>
          <w:sz w:val="20"/>
        </w:rPr>
        <w:t xml:space="preserve">ПЛАН МЕРОПРИЯТИЙ</w:t>
      </w:r>
    </w:p>
    <w:p>
      <w:pPr>
        <w:pStyle w:val="2"/>
        <w:jc w:val="center"/>
      </w:pPr>
      <w:r>
        <w:rPr>
          <w:sz w:val="20"/>
        </w:rPr>
        <w:t xml:space="preserve">("ДОРОЖНАЯ КАРТА") ПО ДОСТИЖЕНИЮ ЦЕЛЕВЫХ ЗНАЧЕНИЙ</w:t>
      </w:r>
    </w:p>
    <w:p>
      <w:pPr>
        <w:pStyle w:val="2"/>
        <w:jc w:val="center"/>
      </w:pPr>
      <w:r>
        <w:rPr>
          <w:sz w:val="20"/>
        </w:rPr>
        <w:t xml:space="preserve">КЛЮЧЕВЫХ ПОКАЗАТЕЛЕЙ ЭФФЕКТИВНОСТИ НАЦИОНАЛЬНОЙ МОДЕЛИ</w:t>
      </w:r>
    </w:p>
    <w:p>
      <w:pPr>
        <w:pStyle w:val="2"/>
        <w:jc w:val="center"/>
      </w:pPr>
      <w:r>
        <w:rPr>
          <w:sz w:val="20"/>
        </w:rPr>
        <w:t xml:space="preserve">ПО ФАКТОРУ "СИЛОВОЕ ДАВЛЕНИЕ НА БИЗНЕС"</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3"/>
        <w:gridCol w:w="1644"/>
        <w:gridCol w:w="1644"/>
        <w:gridCol w:w="1587"/>
        <w:gridCol w:w="1276"/>
        <w:gridCol w:w="1701"/>
        <w:gridCol w:w="1276"/>
        <w:gridCol w:w="1644"/>
      </w:tblGrid>
      <w:tr>
        <w:tc>
          <w:tcPr>
            <w:tcW w:w="563" w:type="dxa"/>
          </w:tcPr>
          <w:p>
            <w:pPr>
              <w:pStyle w:val="0"/>
              <w:jc w:val="center"/>
            </w:pPr>
            <w:r>
              <w:rPr>
                <w:sz w:val="20"/>
              </w:rPr>
              <w:t xml:space="preserve">N пп.</w:t>
            </w:r>
          </w:p>
        </w:tc>
        <w:tc>
          <w:tcPr>
            <w:tcW w:w="1644" w:type="dxa"/>
          </w:tcPr>
          <w:p>
            <w:pPr>
              <w:pStyle w:val="0"/>
              <w:jc w:val="center"/>
            </w:pPr>
            <w:r>
              <w:rPr>
                <w:sz w:val="20"/>
              </w:rPr>
              <w:t xml:space="preserve">Показатель рейтинга</w:t>
            </w:r>
          </w:p>
        </w:tc>
        <w:tc>
          <w:tcPr>
            <w:tcW w:w="1644" w:type="dxa"/>
          </w:tcPr>
          <w:p>
            <w:pPr>
              <w:pStyle w:val="0"/>
              <w:jc w:val="center"/>
            </w:pPr>
            <w:r>
              <w:rPr>
                <w:sz w:val="20"/>
              </w:rPr>
              <w:t xml:space="preserve">Наименование мероприятия</w:t>
            </w:r>
          </w:p>
        </w:tc>
        <w:tc>
          <w:tcPr>
            <w:tcW w:w="1587" w:type="dxa"/>
          </w:tcPr>
          <w:p>
            <w:pPr>
              <w:pStyle w:val="0"/>
              <w:jc w:val="center"/>
            </w:pPr>
            <w:r>
              <w:rPr>
                <w:sz w:val="20"/>
              </w:rPr>
              <w:t xml:space="preserve">Ожидаемый результат</w:t>
            </w:r>
          </w:p>
        </w:tc>
        <w:tc>
          <w:tcPr>
            <w:tcW w:w="1276" w:type="dxa"/>
          </w:tcPr>
          <w:p>
            <w:pPr>
              <w:pStyle w:val="0"/>
              <w:jc w:val="center"/>
            </w:pPr>
            <w:r>
              <w:rPr>
                <w:sz w:val="20"/>
              </w:rPr>
              <w:t xml:space="preserve">Вид документа</w:t>
            </w:r>
          </w:p>
        </w:tc>
        <w:tc>
          <w:tcPr>
            <w:tcW w:w="1701" w:type="dxa"/>
          </w:tcPr>
          <w:p>
            <w:pPr>
              <w:pStyle w:val="0"/>
              <w:jc w:val="center"/>
            </w:pPr>
            <w:r>
              <w:rPr>
                <w:sz w:val="20"/>
              </w:rPr>
              <w:t xml:space="preserve">Источник данных для подтверждения достижения ожидаемого результата</w:t>
            </w:r>
          </w:p>
        </w:tc>
        <w:tc>
          <w:tcPr>
            <w:tcW w:w="1276" w:type="dxa"/>
          </w:tcPr>
          <w:p>
            <w:pPr>
              <w:pStyle w:val="0"/>
              <w:jc w:val="center"/>
            </w:pPr>
            <w:r>
              <w:rPr>
                <w:sz w:val="20"/>
              </w:rPr>
              <w:t xml:space="preserve">Срок реализации</w:t>
            </w:r>
          </w:p>
        </w:tc>
        <w:tc>
          <w:tcPr>
            <w:tcW w:w="1644" w:type="dxa"/>
          </w:tcPr>
          <w:p>
            <w:pPr>
              <w:pStyle w:val="0"/>
              <w:jc w:val="center"/>
            </w:pPr>
            <w:r>
              <w:rPr>
                <w:sz w:val="20"/>
              </w:rPr>
              <w:t xml:space="preserve">Ответственный исполнитель</w:t>
            </w:r>
          </w:p>
        </w:tc>
      </w:tr>
      <w:tr>
        <w:tc>
          <w:tcPr>
            <w:tcW w:w="563" w:type="dxa"/>
          </w:tcPr>
          <w:p>
            <w:pPr>
              <w:pStyle w:val="0"/>
              <w:jc w:val="center"/>
            </w:pPr>
            <w:r>
              <w:rPr>
                <w:sz w:val="20"/>
              </w:rPr>
              <w:t xml:space="preserve">1</w:t>
            </w:r>
          </w:p>
        </w:tc>
        <w:tc>
          <w:tcPr>
            <w:tcW w:w="1644" w:type="dxa"/>
          </w:tcPr>
          <w:p>
            <w:pPr>
              <w:pStyle w:val="0"/>
              <w:jc w:val="center"/>
            </w:pPr>
            <w:r>
              <w:rPr>
                <w:sz w:val="20"/>
              </w:rPr>
              <w:t xml:space="preserve">2</w:t>
            </w:r>
          </w:p>
        </w:tc>
        <w:tc>
          <w:tcPr>
            <w:tcW w:w="1644" w:type="dxa"/>
          </w:tcPr>
          <w:p>
            <w:pPr>
              <w:pStyle w:val="0"/>
              <w:jc w:val="center"/>
            </w:pPr>
            <w:r>
              <w:rPr>
                <w:sz w:val="20"/>
              </w:rPr>
              <w:t xml:space="preserve">3</w:t>
            </w:r>
          </w:p>
        </w:tc>
        <w:tc>
          <w:tcPr>
            <w:tcW w:w="1587" w:type="dxa"/>
          </w:tcPr>
          <w:p>
            <w:pPr>
              <w:pStyle w:val="0"/>
              <w:jc w:val="center"/>
            </w:pPr>
            <w:r>
              <w:rPr>
                <w:sz w:val="20"/>
              </w:rPr>
              <w:t xml:space="preserve">4</w:t>
            </w:r>
          </w:p>
        </w:tc>
        <w:tc>
          <w:tcPr>
            <w:tcW w:w="1276" w:type="dxa"/>
          </w:tcPr>
          <w:p>
            <w:pPr>
              <w:pStyle w:val="0"/>
              <w:jc w:val="center"/>
            </w:pPr>
            <w:r>
              <w:rPr>
                <w:sz w:val="20"/>
              </w:rPr>
              <w:t xml:space="preserve">5</w:t>
            </w:r>
          </w:p>
        </w:tc>
        <w:tc>
          <w:tcPr>
            <w:tcW w:w="1701" w:type="dxa"/>
          </w:tcPr>
          <w:p>
            <w:pPr>
              <w:pStyle w:val="0"/>
              <w:jc w:val="center"/>
            </w:pPr>
            <w:r>
              <w:rPr>
                <w:sz w:val="20"/>
              </w:rPr>
              <w:t xml:space="preserve">6</w:t>
            </w:r>
          </w:p>
        </w:tc>
        <w:tc>
          <w:tcPr>
            <w:tcW w:w="1276" w:type="dxa"/>
          </w:tcPr>
          <w:p>
            <w:pPr>
              <w:pStyle w:val="0"/>
              <w:jc w:val="center"/>
            </w:pPr>
            <w:r>
              <w:rPr>
                <w:sz w:val="20"/>
              </w:rPr>
              <w:t xml:space="preserve">7</w:t>
            </w:r>
          </w:p>
        </w:tc>
        <w:tc>
          <w:tcPr>
            <w:tcW w:w="1644" w:type="dxa"/>
          </w:tcPr>
          <w:p>
            <w:pPr>
              <w:pStyle w:val="0"/>
              <w:jc w:val="center"/>
            </w:pPr>
            <w:r>
              <w:rPr>
                <w:sz w:val="20"/>
              </w:rPr>
              <w:t xml:space="preserve">8</w:t>
            </w:r>
          </w:p>
        </w:tc>
      </w:tr>
      <w:tr>
        <w:tc>
          <w:tcPr>
            <w:tcW w:w="563" w:type="dxa"/>
          </w:tcPr>
          <w:p>
            <w:pPr>
              <w:pStyle w:val="0"/>
            </w:pPr>
            <w:r>
              <w:rPr>
                <w:sz w:val="20"/>
              </w:rPr>
              <w:t xml:space="preserve">1.</w:t>
            </w:r>
          </w:p>
        </w:tc>
        <w:tc>
          <w:tcPr>
            <w:tcW w:w="1644" w:type="dxa"/>
            <w:vMerge w:val="restart"/>
          </w:tcPr>
          <w:p>
            <w:pPr>
              <w:pStyle w:val="0"/>
            </w:pPr>
            <w:r>
              <w:rPr>
                <w:sz w:val="20"/>
              </w:rPr>
              <w:t xml:space="preserve">3.3.2 "Доля предпринимателей, сталкивавшихся с необоснованным силовым давлением со стороны правоохранительных органов (от общего числа опрошенных)"</w:t>
            </w:r>
          </w:p>
        </w:tc>
        <w:tc>
          <w:tcPr>
            <w:tcW w:w="1644" w:type="dxa"/>
          </w:tcPr>
          <w:p>
            <w:pPr>
              <w:pStyle w:val="0"/>
            </w:pPr>
            <w:r>
              <w:rPr>
                <w:sz w:val="20"/>
              </w:rPr>
              <w:t xml:space="preserve">Выявление проблем бизнеса при взаимодействии с правоохранительными органами</w:t>
            </w:r>
          </w:p>
        </w:tc>
        <w:tc>
          <w:tcPr>
            <w:tcW w:w="1587" w:type="dxa"/>
          </w:tcPr>
          <w:p>
            <w:pPr>
              <w:pStyle w:val="0"/>
            </w:pPr>
            <w:r>
              <w:rPr>
                <w:sz w:val="20"/>
              </w:rPr>
              <w:t xml:space="preserve">Решение проблемных вопросов бизнеса</w:t>
            </w:r>
          </w:p>
        </w:tc>
        <w:tc>
          <w:tcPr>
            <w:tcW w:w="1276" w:type="dxa"/>
          </w:tcPr>
          <w:p>
            <w:pPr>
              <w:pStyle w:val="0"/>
              <w:jc w:val="center"/>
            </w:pPr>
            <w:r>
              <w:rPr>
                <w:sz w:val="20"/>
              </w:rPr>
              <w:t xml:space="preserve">-</w:t>
            </w:r>
          </w:p>
        </w:tc>
        <w:tc>
          <w:tcPr>
            <w:tcW w:w="1701" w:type="dxa"/>
          </w:tcPr>
          <w:p>
            <w:pPr>
              <w:pStyle w:val="0"/>
            </w:pPr>
            <w:r>
              <w:rPr>
                <w:sz w:val="20"/>
              </w:rPr>
              <w:t xml:space="preserve">Протокол рабочей группы по снижению административного давления на бизнес в Сахалинской области, ПОС.Бизнес</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по взаимодействию с правоохранительными органами Правительства Сахалинской области</w:t>
            </w:r>
          </w:p>
        </w:tc>
      </w:tr>
      <w:tr>
        <w:tc>
          <w:tcPr>
            <w:tcW w:w="563" w:type="dxa"/>
          </w:tcPr>
          <w:p>
            <w:pPr>
              <w:pStyle w:val="0"/>
            </w:pPr>
            <w:r>
              <w:rPr>
                <w:sz w:val="20"/>
              </w:rPr>
              <w:t xml:space="preserve">2.</w:t>
            </w:r>
          </w:p>
        </w:tc>
        <w:tc>
          <w:tcPr>
            <w:vMerge w:val="continue"/>
          </w:tcPr>
          <w:p/>
        </w:tc>
        <w:tc>
          <w:tcPr>
            <w:tcW w:w="1644" w:type="dxa"/>
          </w:tcPr>
          <w:p>
            <w:pPr>
              <w:pStyle w:val="0"/>
            </w:pPr>
            <w:r>
              <w:rPr>
                <w:sz w:val="20"/>
              </w:rPr>
              <w:t xml:space="preserve">Информирование предпринимателей о возможности обращения к Уполномоченному по защите прав предпринимателей в Сахалинской области с жалобами на необоснованное силовое давление</w:t>
            </w:r>
          </w:p>
        </w:tc>
        <w:tc>
          <w:tcPr>
            <w:tcW w:w="1587" w:type="dxa"/>
          </w:tcPr>
          <w:p>
            <w:pPr>
              <w:pStyle w:val="0"/>
            </w:pPr>
            <w:r>
              <w:rPr>
                <w:sz w:val="20"/>
              </w:rPr>
              <w:t xml:space="preserve">Исключение случаев необоснованного силового давления на бизнес со стороны правоохранительных органов</w:t>
            </w:r>
          </w:p>
        </w:tc>
        <w:tc>
          <w:tcPr>
            <w:tcW w:w="1276" w:type="dxa"/>
          </w:tcPr>
          <w:p>
            <w:pPr>
              <w:pStyle w:val="0"/>
              <w:jc w:val="center"/>
            </w:pPr>
            <w:r>
              <w:rPr>
                <w:sz w:val="20"/>
              </w:rPr>
              <w:t xml:space="preserve">-</w:t>
            </w:r>
          </w:p>
        </w:tc>
        <w:tc>
          <w:tcPr>
            <w:tcW w:w="1701" w:type="dxa"/>
          </w:tcPr>
          <w:p>
            <w:pPr>
              <w:pStyle w:val="0"/>
            </w:pPr>
            <w:r>
              <w:rPr>
                <w:sz w:val="20"/>
              </w:rPr>
              <w:t xml:space="preserve">Отчет Уполномоченного по защите прав предпринимателей в Сахалинской области, ПОС.Бизнес</w:t>
            </w:r>
          </w:p>
        </w:tc>
        <w:tc>
          <w:tcPr>
            <w:tcW w:w="1276" w:type="dxa"/>
          </w:tcPr>
          <w:p>
            <w:pPr>
              <w:pStyle w:val="0"/>
              <w:jc w:val="center"/>
            </w:pPr>
            <w:r>
              <w:rPr>
                <w:sz w:val="20"/>
              </w:rPr>
              <w:t xml:space="preserve">Ежегодно до 01.07.2030</w:t>
            </w:r>
          </w:p>
        </w:tc>
        <w:tc>
          <w:tcPr>
            <w:tcW w:w="1644" w:type="dxa"/>
          </w:tcPr>
          <w:p>
            <w:pPr>
              <w:pStyle w:val="0"/>
            </w:pPr>
            <w:r>
              <w:rPr>
                <w:sz w:val="20"/>
              </w:rPr>
              <w:t xml:space="preserve">Управление по взаимодействию с правоохранительными органами Правительства Сахалинской области, Уполномоченный по защите прав предпринимателей в Сахалинской области</w:t>
            </w:r>
          </w:p>
        </w:tc>
      </w:tr>
      <w:tr>
        <w:tc>
          <w:tcPr>
            <w:tcW w:w="563" w:type="dxa"/>
          </w:tcPr>
          <w:p>
            <w:pPr>
              <w:pStyle w:val="0"/>
            </w:pPr>
            <w:r>
              <w:rPr>
                <w:sz w:val="20"/>
              </w:rPr>
              <w:t xml:space="preserve">3.</w:t>
            </w:r>
          </w:p>
        </w:tc>
        <w:tc>
          <w:tcPr>
            <w:vMerge w:val="continue"/>
          </w:tcPr>
          <w:p/>
        </w:tc>
        <w:tc>
          <w:tcPr>
            <w:tcW w:w="1644" w:type="dxa"/>
          </w:tcPr>
          <w:p>
            <w:pPr>
              <w:pStyle w:val="0"/>
            </w:pPr>
            <w:r>
              <w:rPr>
                <w:sz w:val="20"/>
              </w:rPr>
              <w:t xml:space="preserve">Проведение разъяснительной и информационной работы с предпринимателями об отличиях плановых (внеплановых) проверок, контрольных и профилактических мероприятий от необоснованного силового давления на бизнес</w:t>
            </w:r>
          </w:p>
        </w:tc>
        <w:tc>
          <w:tcPr>
            <w:tcW w:w="1587" w:type="dxa"/>
          </w:tcPr>
          <w:p>
            <w:pPr>
              <w:pStyle w:val="0"/>
            </w:pPr>
            <w:r>
              <w:rPr>
                <w:sz w:val="20"/>
              </w:rPr>
              <w:t xml:space="preserve">Повышение правовой грамотности предпринимателей</w:t>
            </w:r>
          </w:p>
        </w:tc>
        <w:tc>
          <w:tcPr>
            <w:tcW w:w="1276" w:type="dxa"/>
          </w:tcPr>
          <w:p>
            <w:pPr>
              <w:pStyle w:val="0"/>
              <w:jc w:val="center"/>
            </w:pPr>
            <w:r>
              <w:rPr>
                <w:sz w:val="20"/>
              </w:rPr>
              <w:t xml:space="preserve">-</w:t>
            </w:r>
          </w:p>
        </w:tc>
        <w:tc>
          <w:tcPr>
            <w:tcW w:w="1701" w:type="dxa"/>
          </w:tcPr>
          <w:p>
            <w:pPr>
              <w:pStyle w:val="0"/>
            </w:pPr>
            <w:r>
              <w:rPr>
                <w:sz w:val="20"/>
              </w:rPr>
              <w:t xml:space="preserve">Опрос</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по взаимодействию с правоохранительными органами Правительства Сахалинской области</w:t>
            </w:r>
          </w:p>
        </w:tc>
      </w:tr>
      <w:tr>
        <w:tc>
          <w:tcPr>
            <w:tcW w:w="563" w:type="dxa"/>
          </w:tcPr>
          <w:p>
            <w:pPr>
              <w:pStyle w:val="0"/>
            </w:pPr>
            <w:r>
              <w:rPr>
                <w:sz w:val="20"/>
              </w:rPr>
              <w:t xml:space="preserve">4.</w:t>
            </w:r>
          </w:p>
        </w:tc>
        <w:tc>
          <w:tcPr>
            <w:tcW w:w="1644" w:type="dxa"/>
          </w:tcPr>
          <w:p>
            <w:pPr>
              <w:pStyle w:val="0"/>
            </w:pPr>
            <w:r>
              <w:rPr>
                <w:sz w:val="20"/>
              </w:rPr>
            </w:r>
          </w:p>
        </w:tc>
        <w:tc>
          <w:tcPr>
            <w:tcW w:w="1644" w:type="dxa"/>
          </w:tcPr>
          <w:p>
            <w:pPr>
              <w:pStyle w:val="0"/>
            </w:pPr>
            <w:r>
              <w:rPr>
                <w:sz w:val="20"/>
              </w:rPr>
              <w:t xml:space="preserve">Рассмотрение на заседаниях рабочей группы по административному давлению на бизнес в Сахалинской области с участием прокуратуры Сахалинской области фактов необоснованного силового давления на бизнес со стороны правоохранительных органов</w:t>
            </w:r>
          </w:p>
        </w:tc>
        <w:tc>
          <w:tcPr>
            <w:tcW w:w="1587" w:type="dxa"/>
          </w:tcPr>
          <w:p>
            <w:pPr>
              <w:pStyle w:val="0"/>
            </w:pPr>
            <w:r>
              <w:rPr>
                <w:sz w:val="20"/>
              </w:rPr>
              <w:t xml:space="preserve">Исключение случаев необоснованного силового давления на бизнес со стороны правоохранительных органов</w:t>
            </w:r>
          </w:p>
        </w:tc>
        <w:tc>
          <w:tcPr>
            <w:tcW w:w="1276" w:type="dxa"/>
          </w:tcPr>
          <w:p>
            <w:pPr>
              <w:pStyle w:val="0"/>
              <w:jc w:val="center"/>
            </w:pPr>
            <w:r>
              <w:rPr>
                <w:sz w:val="20"/>
              </w:rPr>
              <w:t xml:space="preserve">-</w:t>
            </w:r>
          </w:p>
        </w:tc>
        <w:tc>
          <w:tcPr>
            <w:tcW w:w="1701" w:type="dxa"/>
          </w:tcPr>
          <w:p>
            <w:pPr>
              <w:pStyle w:val="0"/>
            </w:pPr>
            <w:r>
              <w:rPr>
                <w:sz w:val="20"/>
              </w:rPr>
              <w:t xml:space="preserve">Опрос</w:t>
            </w:r>
          </w:p>
        </w:tc>
        <w:tc>
          <w:tcPr>
            <w:tcW w:w="1276" w:type="dxa"/>
          </w:tcPr>
          <w:p>
            <w:pPr>
              <w:pStyle w:val="0"/>
              <w:jc w:val="center"/>
            </w:pPr>
            <w:r>
              <w:rPr>
                <w:sz w:val="20"/>
              </w:rPr>
              <w:t xml:space="preserve">Постоянно до 01.07.2030</w:t>
            </w:r>
          </w:p>
        </w:tc>
        <w:tc>
          <w:tcPr>
            <w:tcW w:w="1644" w:type="dxa"/>
          </w:tcPr>
          <w:p>
            <w:pPr>
              <w:pStyle w:val="0"/>
            </w:pPr>
            <w:r>
              <w:rPr>
                <w:sz w:val="20"/>
              </w:rPr>
              <w:t xml:space="preserve">Управление по взаимодействию с правоохранительными органами Правительства Сахалинской области</w:t>
            </w:r>
          </w:p>
        </w:tc>
      </w:tr>
    </w:tbl>
    <w:p>
      <w:pPr>
        <w:sectPr>
          <w:headerReference w:type="default" r:id="rId18"/>
          <w:headerReference w:type="first" r:id="rId18"/>
          <w:footerReference w:type="default" r:id="rId19"/>
          <w:footerReference w:type="first" r:id="rId19"/>
          <w:pgSz w:w="16838" w:h="11906" w:orient="landscape"/>
          <w:pgMar w:top="1133" w:right="1440" w:bottom="566" w:left="1440" w:header="0" w:footer="0" w:gutter="0"/>
          <w:titlePg/>
        </w:sectPr>
      </w:pP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12</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p>
      <w:pPr>
        <w:pStyle w:val="2"/>
        <w:jc w:val="center"/>
      </w:pPr>
      <w:r>
        <w:rPr>
          <w:sz w:val="20"/>
        </w:rPr>
        <w:t xml:space="preserve">ПЛАН МЕРОПРИЯТИЙ</w:t>
      </w:r>
    </w:p>
    <w:p>
      <w:pPr>
        <w:pStyle w:val="2"/>
        <w:jc w:val="center"/>
      </w:pPr>
      <w:r>
        <w:rPr>
          <w:sz w:val="20"/>
        </w:rPr>
        <w:t xml:space="preserve">("ДОРОЖНАЯ КАРТА") ПО ДОСТИЖЕНИЮ ЦЕЛЕВЫХ ЗНАЧЕНИЙ</w:t>
      </w:r>
    </w:p>
    <w:p>
      <w:pPr>
        <w:pStyle w:val="2"/>
        <w:jc w:val="center"/>
      </w:pPr>
      <w:r>
        <w:rPr>
          <w:sz w:val="20"/>
        </w:rPr>
        <w:t xml:space="preserve">КЛЮЧЕВЫХ ПОКАЗАТЕЛЕЙ ЭФФЕКТИВНОСТИ НАЦИОНАЛЬНОЙ МОДЕЛИ</w:t>
      </w:r>
    </w:p>
    <w:p>
      <w:pPr>
        <w:pStyle w:val="2"/>
        <w:jc w:val="center"/>
      </w:pPr>
      <w:r>
        <w:rPr>
          <w:sz w:val="20"/>
        </w:rPr>
        <w:t xml:space="preserve">ПО ФАКТОРУ "УРОВЕНЬ РАЗВИТИЯ МАЛОГО И СРЕДНЕГО</w:t>
      </w:r>
    </w:p>
    <w:p>
      <w:pPr>
        <w:pStyle w:val="2"/>
        <w:jc w:val="center"/>
      </w:pPr>
      <w:r>
        <w:rPr>
          <w:sz w:val="20"/>
        </w:rPr>
        <w:t xml:space="preserve">ПРЕДПРИНИМАТЕЛЬСТВА"</w:t>
      </w:r>
    </w:p>
    <w:p>
      <w:pPr>
        <w:pStyle w:val="0"/>
      </w:pPr>
      <w:r>
        <w:rPr>
          <w:sz w:val="20"/>
        </w:rPr>
      </w:r>
    </w:p>
    <w:p>
      <w:pPr>
        <w:pStyle w:val="0"/>
        <w:ind w:firstLine="540"/>
        <w:jc w:val="both"/>
      </w:pPr>
      <w:r>
        <w:rPr>
          <w:sz w:val="20"/>
        </w:rPr>
        <w:t xml:space="preserve">Утратил силу. - </w:t>
      </w:r>
      <w:hyperlink w:history="0" r:id="rId26"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Распоряжение</w:t>
        </w:r>
      </w:hyperlink>
      <w:r>
        <w:rPr>
          <w:sz w:val="20"/>
        </w:rPr>
        <w:t xml:space="preserve"> Губернатора Сахалинской области от 18.12.2025 N 323-р.</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Приложение N 13</w:t>
      </w:r>
    </w:p>
    <w:p>
      <w:pPr>
        <w:pStyle w:val="0"/>
        <w:jc w:val="right"/>
      </w:pPr>
      <w:r>
        <w:rPr>
          <w:sz w:val="20"/>
        </w:rPr>
        <w:t xml:space="preserve">к распоряжению</w:t>
      </w:r>
    </w:p>
    <w:p>
      <w:pPr>
        <w:pStyle w:val="0"/>
        <w:jc w:val="right"/>
      </w:pPr>
      <w:r>
        <w:rPr>
          <w:sz w:val="20"/>
        </w:rPr>
        <w:t xml:space="preserve">Губернатора Сахалинской области</w:t>
      </w:r>
    </w:p>
    <w:p>
      <w:pPr>
        <w:pStyle w:val="0"/>
        <w:jc w:val="right"/>
      </w:pPr>
      <w:r>
        <w:rPr>
          <w:sz w:val="20"/>
        </w:rPr>
        <w:t xml:space="preserve">от 15.08.2025 N 201-р</w:t>
      </w:r>
    </w:p>
    <w:p>
      <w:pPr>
        <w:pStyle w:val="0"/>
      </w:pPr>
      <w:r>
        <w:rPr>
          <w:sz w:val="20"/>
        </w:rPr>
      </w:r>
    </w:p>
    <w:bookmarkStart w:id="1295" w:name="P1295"/>
    <w:bookmarkEnd w:id="1295"/>
    <w:p>
      <w:pPr>
        <w:pStyle w:val="2"/>
        <w:jc w:val="center"/>
      </w:pPr>
      <w:r>
        <w:rPr>
          <w:sz w:val="20"/>
        </w:rPr>
        <w:t xml:space="preserve">ПЕРЕЧЕНЬ</w:t>
      </w:r>
    </w:p>
    <w:p>
      <w:pPr>
        <w:pStyle w:val="2"/>
        <w:jc w:val="center"/>
      </w:pPr>
      <w:r>
        <w:rPr>
          <w:sz w:val="20"/>
        </w:rPr>
        <w:t xml:space="preserve">ОТВЕТСТВЕННЫХ ИСПОЛНИТЕЛЬНЫХ ОРГАНОВ САХАЛИНСКОЙ ОБЛАСТИ,</w:t>
      </w:r>
    </w:p>
    <w:p>
      <w:pPr>
        <w:pStyle w:val="2"/>
        <w:jc w:val="center"/>
      </w:pPr>
      <w:r>
        <w:rPr>
          <w:sz w:val="20"/>
        </w:rPr>
        <w:t xml:space="preserve">ТЕРРИТОРИАЛЬНЫХ ОРГАНОВ ФЕДЕРАЛЬНЫХ ОРГАНОВ</w:t>
      </w:r>
    </w:p>
    <w:p>
      <w:pPr>
        <w:pStyle w:val="2"/>
        <w:jc w:val="center"/>
      </w:pPr>
      <w:r>
        <w:rPr>
          <w:sz w:val="20"/>
        </w:rPr>
        <w:t xml:space="preserve">ИСПОЛНИТЕЛЬНОЙ ВЛАСТИ ПО САХАЛИНСКОЙ ОБЛАСТИ, ПОДРАЗДЕЛЕНИЙ</w:t>
      </w:r>
    </w:p>
    <w:p>
      <w:pPr>
        <w:pStyle w:val="2"/>
        <w:jc w:val="center"/>
      </w:pPr>
      <w:r>
        <w:rPr>
          <w:sz w:val="20"/>
        </w:rPr>
        <w:t xml:space="preserve">ПРАВИТЕЛЬСТВА САХАЛИНСКОЙ ОБЛАСТИ ЗА РЕАЛИЗАЦИЮ ПЛАНОВ</w:t>
      </w:r>
    </w:p>
    <w:p>
      <w:pPr>
        <w:pStyle w:val="2"/>
        <w:jc w:val="center"/>
      </w:pPr>
      <w:r>
        <w:rPr>
          <w:sz w:val="20"/>
        </w:rPr>
        <w:t xml:space="preserve">МЕРОПРИЯТИЙ ("ДОРОЖНЫХ КАРТ") ПО ДОСТИЖЕНИЮ ЦЕЛЕВЫХ ЗНАЧЕНИЙ</w:t>
      </w:r>
    </w:p>
    <w:p>
      <w:pPr>
        <w:pStyle w:val="2"/>
        <w:jc w:val="center"/>
      </w:pPr>
      <w:r>
        <w:rPr>
          <w:sz w:val="20"/>
        </w:rPr>
        <w:t xml:space="preserve">КЛЮЧЕВЫХ ПОКАЗАТЕЛЕЙ ЭФФЕКТИВНОСТИ НАЦИОНАЛЬНОЙ МОДЕЛИ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27"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Распоряжения</w:t>
              </w:r>
            </w:hyperlink>
            <w:r>
              <w:rPr>
                <w:sz w:val="20"/>
                <w:color w:val="392c69"/>
              </w:rPr>
              <w:t xml:space="preserve"> Губернатора Сахалинской области</w:t>
            </w:r>
          </w:p>
          <w:p>
            <w:pPr>
              <w:pStyle w:val="0"/>
              <w:jc w:val="center"/>
            </w:pPr>
            <w:r>
              <w:rPr>
                <w:sz w:val="20"/>
                <w:color w:val="392c69"/>
              </w:rPr>
              <w:t xml:space="preserve">от 18.12.2025 N 323-р)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241"/>
        <w:gridCol w:w="4242"/>
      </w:tblGrid>
      <w:tr>
        <w:tc>
          <w:tcPr>
            <w:tcW w:w="567" w:type="dxa"/>
          </w:tcPr>
          <w:p>
            <w:pPr>
              <w:pStyle w:val="0"/>
              <w:jc w:val="center"/>
            </w:pPr>
            <w:r>
              <w:rPr>
                <w:sz w:val="20"/>
              </w:rPr>
              <w:t xml:space="preserve">N пп.</w:t>
            </w:r>
          </w:p>
        </w:tc>
        <w:tc>
          <w:tcPr>
            <w:tcW w:w="4241" w:type="dxa"/>
          </w:tcPr>
          <w:p>
            <w:pPr>
              <w:pStyle w:val="0"/>
              <w:jc w:val="center"/>
            </w:pPr>
            <w:r>
              <w:rPr>
                <w:sz w:val="20"/>
              </w:rPr>
              <w:t xml:space="preserve">Ответственный</w:t>
            </w:r>
          </w:p>
        </w:tc>
        <w:tc>
          <w:tcPr>
            <w:tcW w:w="4242" w:type="dxa"/>
          </w:tcPr>
          <w:p>
            <w:pPr>
              <w:pStyle w:val="0"/>
              <w:jc w:val="center"/>
            </w:pPr>
            <w:r>
              <w:rPr>
                <w:sz w:val="20"/>
              </w:rPr>
              <w:t xml:space="preserve">Наименование фактора "Дорожной карты"</w:t>
            </w:r>
          </w:p>
        </w:tc>
      </w:tr>
      <w:tr>
        <w:tc>
          <w:tcPr>
            <w:tcW w:w="567" w:type="dxa"/>
          </w:tcPr>
          <w:p>
            <w:pPr>
              <w:pStyle w:val="0"/>
            </w:pPr>
            <w:r>
              <w:rPr>
                <w:sz w:val="20"/>
              </w:rPr>
              <w:t xml:space="preserve">1.</w:t>
            </w:r>
          </w:p>
        </w:tc>
        <w:tc>
          <w:tcPr>
            <w:tcW w:w="4241" w:type="dxa"/>
          </w:tcPr>
          <w:p>
            <w:pPr>
              <w:pStyle w:val="0"/>
            </w:pPr>
            <w:r>
              <w:rPr>
                <w:sz w:val="20"/>
              </w:rPr>
              <w:t xml:space="preserve">Министерство архитектуры и градостроительства Сахалинской области</w:t>
            </w:r>
          </w:p>
        </w:tc>
        <w:tc>
          <w:tcPr>
            <w:tcW w:w="4242" w:type="dxa"/>
          </w:tcPr>
          <w:p>
            <w:pPr>
              <w:pStyle w:val="0"/>
            </w:pPr>
            <w:r>
              <w:rPr>
                <w:sz w:val="20"/>
              </w:rPr>
              <w:t xml:space="preserve">"Эффективность процедур по выдаче разрешений на строительство" </w:t>
            </w:r>
            <w:hyperlink w:history="0" w:anchor="P305" w:tooltip="ПЛАН">
              <w:r>
                <w:rPr>
                  <w:sz w:val="20"/>
                  <w:color w:val="0000ff"/>
                </w:rPr>
                <w:t xml:space="preserve">(приложение N 2)</w:t>
              </w:r>
            </w:hyperlink>
          </w:p>
        </w:tc>
      </w:tr>
      <w:tr>
        <w:tc>
          <w:tcPr>
            <w:tcW w:w="567" w:type="dxa"/>
          </w:tcPr>
          <w:p>
            <w:pPr>
              <w:pStyle w:val="0"/>
            </w:pPr>
            <w:r>
              <w:rPr>
                <w:sz w:val="20"/>
              </w:rPr>
              <w:t xml:space="preserve">2.</w:t>
            </w:r>
          </w:p>
        </w:tc>
        <w:tc>
          <w:tcPr>
            <w:tcW w:w="4241" w:type="dxa"/>
          </w:tcPr>
          <w:p>
            <w:pPr>
              <w:pStyle w:val="0"/>
            </w:pPr>
            <w:r>
              <w:rPr>
                <w:sz w:val="20"/>
              </w:rPr>
              <w:t xml:space="preserve">Управление Федеральной службы государственной регистрации, кадастра и картографии по Сахалинской области (по согласованию)</w:t>
            </w:r>
          </w:p>
        </w:tc>
        <w:tc>
          <w:tcPr>
            <w:tcW w:w="4242" w:type="dxa"/>
          </w:tcPr>
          <w:p>
            <w:pPr>
              <w:pStyle w:val="0"/>
            </w:pPr>
            <w:r>
              <w:rPr>
                <w:sz w:val="20"/>
              </w:rPr>
              <w:t xml:space="preserve">"Эффективность процедур по регистрации прав собственности" </w:t>
            </w:r>
            <w:hyperlink w:history="0" w:anchor="P448" w:tooltip="ПЛАН МЕРОПРИЯТИЙ">
              <w:r>
                <w:rPr>
                  <w:sz w:val="20"/>
                  <w:color w:val="0000ff"/>
                </w:rPr>
                <w:t xml:space="preserve">(приложение N 3)</w:t>
              </w:r>
            </w:hyperlink>
          </w:p>
        </w:tc>
      </w:tr>
      <w:tr>
        <w:tc>
          <w:tcPr>
            <w:tcW w:w="567" w:type="dxa"/>
          </w:tcPr>
          <w:p>
            <w:pPr>
              <w:pStyle w:val="0"/>
            </w:pPr>
            <w:r>
              <w:rPr>
                <w:sz w:val="20"/>
              </w:rPr>
              <w:t xml:space="preserve">3.</w:t>
            </w:r>
          </w:p>
        </w:tc>
        <w:tc>
          <w:tcPr>
            <w:tcW w:w="4241" w:type="dxa"/>
          </w:tcPr>
          <w:p>
            <w:pPr>
              <w:pStyle w:val="0"/>
            </w:pPr>
            <w:r>
              <w:rPr>
                <w:sz w:val="20"/>
              </w:rPr>
              <w:t xml:space="preserve">Министерство имущественных и земельных отношений Сахалинской области</w:t>
            </w:r>
          </w:p>
        </w:tc>
        <w:tc>
          <w:tcPr>
            <w:tcW w:w="4242" w:type="dxa"/>
          </w:tcPr>
          <w:p>
            <w:pPr>
              <w:pStyle w:val="0"/>
            </w:pPr>
            <w:r>
              <w:rPr>
                <w:sz w:val="20"/>
              </w:rPr>
              <w:t xml:space="preserve">"Эффективность процедур постановки земельного участка на кадастровый учет" </w:t>
            </w:r>
            <w:hyperlink w:history="0" w:anchor="P517" w:tooltip="ПЛАН">
              <w:r>
                <w:rPr>
                  <w:sz w:val="20"/>
                  <w:color w:val="0000ff"/>
                </w:rPr>
                <w:t xml:space="preserve">(приложение N 4)</w:t>
              </w:r>
            </w:hyperlink>
          </w:p>
          <w:p>
            <w:pPr>
              <w:pStyle w:val="0"/>
            </w:pPr>
            <w:r>
              <w:rPr>
                <w:sz w:val="20"/>
              </w:rPr>
              <w:t xml:space="preserve">"Эффективность процедур по получению в аренду земельных участков" </w:t>
            </w:r>
            <w:hyperlink w:history="0" w:anchor="P593" w:tooltip="ПЛАН">
              <w:r>
                <w:rPr>
                  <w:sz w:val="20"/>
                  <w:color w:val="0000ff"/>
                </w:rPr>
                <w:t xml:space="preserve">(приложение N 5)</w:t>
              </w:r>
            </w:hyperlink>
          </w:p>
        </w:tc>
      </w:tr>
      <w:tr>
        <w:tc>
          <w:tcPr>
            <w:tcW w:w="567" w:type="dxa"/>
          </w:tcPr>
          <w:p>
            <w:pPr>
              <w:pStyle w:val="0"/>
            </w:pPr>
            <w:r>
              <w:rPr>
                <w:sz w:val="20"/>
              </w:rPr>
              <w:t xml:space="preserve">4.</w:t>
            </w:r>
          </w:p>
        </w:tc>
        <w:tc>
          <w:tcPr>
            <w:tcW w:w="4241" w:type="dxa"/>
          </w:tcPr>
          <w:p>
            <w:pPr>
              <w:pStyle w:val="0"/>
            </w:pPr>
            <w:r>
              <w:rPr>
                <w:sz w:val="20"/>
              </w:rPr>
              <w:t xml:space="preserve">Министерство энергетики Сахалинской области</w:t>
            </w:r>
          </w:p>
        </w:tc>
        <w:tc>
          <w:tcPr>
            <w:tcW w:w="4242" w:type="dxa"/>
          </w:tcPr>
          <w:p>
            <w:pPr>
              <w:pStyle w:val="0"/>
            </w:pPr>
            <w:r>
              <w:rPr>
                <w:sz w:val="20"/>
              </w:rPr>
              <w:t xml:space="preserve">"Эффективность процедур по подключению электроэнергии" </w:t>
            </w:r>
            <w:hyperlink w:history="0" w:anchor="P702" w:tooltip="ПЛАН">
              <w:r>
                <w:rPr>
                  <w:sz w:val="20"/>
                  <w:color w:val="0000ff"/>
                </w:rPr>
                <w:t xml:space="preserve">(приложение N 6)</w:t>
              </w:r>
            </w:hyperlink>
          </w:p>
          <w:p>
            <w:pPr>
              <w:pStyle w:val="0"/>
            </w:pPr>
            <w:r>
              <w:rPr>
                <w:sz w:val="20"/>
              </w:rPr>
              <w:t xml:space="preserve">"Эффективность процедур по подключению к газопроводу" </w:t>
            </w:r>
            <w:hyperlink w:history="0" w:anchor="P802" w:tooltip="ПЛАН">
              <w:r>
                <w:rPr>
                  <w:sz w:val="20"/>
                  <w:color w:val="0000ff"/>
                </w:rPr>
                <w:t xml:space="preserve">(приложение N 7)</w:t>
              </w:r>
            </w:hyperlink>
          </w:p>
        </w:tc>
      </w:tr>
      <w:tr>
        <w:tc>
          <w:tcPr>
            <w:tcW w:w="567" w:type="dxa"/>
          </w:tcPr>
          <w:p>
            <w:pPr>
              <w:pStyle w:val="0"/>
            </w:pPr>
            <w:r>
              <w:rPr>
                <w:sz w:val="20"/>
              </w:rPr>
              <w:t xml:space="preserve">5.</w:t>
            </w:r>
          </w:p>
        </w:tc>
        <w:tc>
          <w:tcPr>
            <w:tcW w:w="4241" w:type="dxa"/>
          </w:tcPr>
          <w:p>
            <w:pPr>
              <w:pStyle w:val="0"/>
            </w:pPr>
            <w:r>
              <w:rPr>
                <w:sz w:val="20"/>
              </w:rPr>
              <w:t xml:space="preserve">Министерство жилищно-коммунального хозяйства Сахалинской области</w:t>
            </w:r>
          </w:p>
        </w:tc>
        <w:tc>
          <w:tcPr>
            <w:tcW w:w="4242" w:type="dxa"/>
          </w:tcPr>
          <w:p>
            <w:pPr>
              <w:pStyle w:val="0"/>
            </w:pPr>
            <w:r>
              <w:rPr>
                <w:sz w:val="20"/>
              </w:rPr>
              <w:t xml:space="preserve">"Эффективность процедур по подключению к сетям водоснабжения и водоотведения" </w:t>
            </w:r>
            <w:hyperlink w:history="0" w:anchor="P915" w:tooltip="ПЛАН">
              <w:r>
                <w:rPr>
                  <w:sz w:val="20"/>
                  <w:color w:val="0000ff"/>
                </w:rPr>
                <w:t xml:space="preserve">(приложение N 8)</w:t>
              </w:r>
            </w:hyperlink>
          </w:p>
        </w:tc>
      </w:tr>
      <w:tr>
        <w:tc>
          <w:tcPr>
            <w:tcW w:w="567" w:type="dxa"/>
          </w:tcPr>
          <w:p>
            <w:pPr>
              <w:pStyle w:val="0"/>
            </w:pPr>
            <w:r>
              <w:rPr>
                <w:sz w:val="20"/>
              </w:rPr>
              <w:t xml:space="preserve">6.</w:t>
            </w:r>
          </w:p>
        </w:tc>
        <w:tc>
          <w:tcPr>
            <w:tcW w:w="4241" w:type="dxa"/>
          </w:tcPr>
          <w:p>
            <w:pPr>
              <w:pStyle w:val="0"/>
            </w:pPr>
            <w:r>
              <w:rPr>
                <w:sz w:val="20"/>
              </w:rPr>
              <w:t xml:space="preserve">Министерство строительства Сахалинской области</w:t>
            </w:r>
          </w:p>
        </w:tc>
        <w:tc>
          <w:tcPr>
            <w:tcW w:w="4242" w:type="dxa"/>
          </w:tcPr>
          <w:p>
            <w:pPr>
              <w:pStyle w:val="0"/>
            </w:pPr>
            <w:r>
              <w:rPr>
                <w:sz w:val="20"/>
              </w:rPr>
              <w:t xml:space="preserve">"Эффективность процедур по вводу объекта в эксплуатацию" </w:t>
            </w:r>
            <w:hyperlink w:history="0" w:anchor="P1055" w:tooltip="ПЛАН">
              <w:r>
                <w:rPr>
                  <w:sz w:val="20"/>
                  <w:color w:val="0000ff"/>
                </w:rPr>
                <w:t xml:space="preserve">(приложение N 9)</w:t>
              </w:r>
            </w:hyperlink>
          </w:p>
        </w:tc>
      </w:tr>
      <w:tr>
        <w:tc>
          <w:tcPr>
            <w:tcW w:w="567" w:type="dxa"/>
          </w:tcPr>
          <w:p>
            <w:pPr>
              <w:pStyle w:val="0"/>
            </w:pPr>
            <w:r>
              <w:rPr>
                <w:sz w:val="20"/>
              </w:rPr>
              <w:t xml:space="preserve">7.</w:t>
            </w:r>
          </w:p>
        </w:tc>
        <w:tc>
          <w:tcPr>
            <w:tcW w:w="4241" w:type="dxa"/>
          </w:tcPr>
          <w:p>
            <w:pPr>
              <w:pStyle w:val="0"/>
            </w:pPr>
            <w:r>
              <w:rPr>
                <w:sz w:val="20"/>
              </w:rPr>
              <w:t xml:space="preserve">Министерство цифрового и технологического развития Сахалинской области, Управление по взаимодействию с правоохранительными органами Правительства Сахалинской области</w:t>
            </w:r>
          </w:p>
        </w:tc>
        <w:tc>
          <w:tcPr>
            <w:tcW w:w="4242" w:type="dxa"/>
          </w:tcPr>
          <w:p>
            <w:pPr>
              <w:pStyle w:val="0"/>
            </w:pPr>
            <w:r>
              <w:rPr>
                <w:sz w:val="20"/>
              </w:rPr>
              <w:t xml:space="preserve">"Административное давление на бизнес" </w:t>
            </w:r>
            <w:hyperlink w:history="0" w:anchor="P1120" w:tooltip="ПЛАН МЕРОПРИЯТИЙ">
              <w:r>
                <w:rPr>
                  <w:sz w:val="20"/>
                  <w:color w:val="0000ff"/>
                </w:rPr>
                <w:t xml:space="preserve">(приложение N 10)</w:t>
              </w:r>
            </w:hyperlink>
          </w:p>
        </w:tc>
      </w:tr>
      <w:tr>
        <w:tc>
          <w:tcPr>
            <w:tcW w:w="567" w:type="dxa"/>
          </w:tcPr>
          <w:p>
            <w:pPr>
              <w:pStyle w:val="0"/>
            </w:pPr>
            <w:r>
              <w:rPr>
                <w:sz w:val="20"/>
              </w:rPr>
              <w:t xml:space="preserve">8.</w:t>
            </w:r>
          </w:p>
        </w:tc>
        <w:tc>
          <w:tcPr>
            <w:tcW w:w="4241" w:type="dxa"/>
          </w:tcPr>
          <w:p>
            <w:pPr>
              <w:pStyle w:val="0"/>
            </w:pPr>
            <w:r>
              <w:rPr>
                <w:sz w:val="20"/>
              </w:rPr>
              <w:t xml:space="preserve">Управление по взаимодействию с правоохранительными органами Правительства Сахалинской области</w:t>
            </w:r>
          </w:p>
        </w:tc>
        <w:tc>
          <w:tcPr>
            <w:tcW w:w="4242" w:type="dxa"/>
          </w:tcPr>
          <w:p>
            <w:pPr>
              <w:pStyle w:val="0"/>
            </w:pPr>
            <w:r>
              <w:rPr>
                <w:sz w:val="20"/>
              </w:rPr>
              <w:t xml:space="preserve">"Силовое давление на бизнес" </w:t>
            </w:r>
            <w:hyperlink w:history="0" w:anchor="P1217" w:tooltip="ПЛАН МЕРОПРИЯТИЙ">
              <w:r>
                <w:rPr>
                  <w:sz w:val="20"/>
                  <w:color w:val="0000ff"/>
                </w:rPr>
                <w:t xml:space="preserve">(приложение N 11)</w:t>
              </w:r>
            </w:hyperlink>
          </w:p>
        </w:tc>
      </w:tr>
      <w:tr>
        <w:tblPrEx>
          <w:tblBorders>
            <w:insideH w:val="nil"/>
          </w:tblBorders>
        </w:tblPrEx>
        <w:tc>
          <w:tcPr>
            <w:tcW w:w="567" w:type="dxa"/>
          </w:tcPr>
          <w:p>
            <w:pPr>
              <w:pStyle w:val="0"/>
            </w:pPr>
            <w:r>
              <w:rPr>
                <w:sz w:val="20"/>
              </w:rPr>
              <w:t xml:space="preserve">9.</w:t>
            </w:r>
          </w:p>
        </w:tc>
        <w:tc>
          <w:tcPr>
            <w:gridSpan w:val="2"/>
            <w:tcW w:w="8483" w:type="dxa"/>
          </w:tcPr>
          <w:p>
            <w:pPr>
              <w:pStyle w:val="0"/>
              <w:jc w:val="both"/>
            </w:pPr>
            <w:r>
              <w:rPr>
                <w:sz w:val="20"/>
              </w:rPr>
              <w:t xml:space="preserve">Утратил силу. - </w:t>
            </w:r>
            <w:hyperlink w:history="0" r:id="rId28" w:tooltip="Распоряжение Губернатора Сахалинской области от 18.12.2025 N 323-р &quot;О внесении изменений в распоряжение Губернатора Сахалинской области от 15.08.2025 N 201-р &quot;Об утверждении планов мероприятий (&quot;дорожных карт&quot;)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quot; {КонсультантПлюс}">
              <w:r>
                <w:rPr>
                  <w:sz w:val="20"/>
                  <w:color w:val="0000ff"/>
                </w:rPr>
                <w:t xml:space="preserve">Распоряжение</w:t>
              </w:r>
            </w:hyperlink>
            <w:r>
              <w:rPr>
                <w:sz w:val="20"/>
              </w:rPr>
              <w:t xml:space="preserve"> Губернатора Сахалинской области от 18.12.2025 N 323-р</w:t>
            </w:r>
          </w:p>
        </w:tc>
      </w:tr>
    </w:tbl>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Губернатора Сахалинской области от 15.08.2025 N 201-р</w:t>
            <w:br/>
            <w:t>(ред. от 18.12.2025)</w:t>
            <w:br/>
            <w:t>"Об утверждении планов мероприят...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Губернатора Сахалинской области от 15.08.2025 N 201-р</w:t>
            <w:br/>
            <w:t>(ред. от 18.12.2025)</w:t>
            <w:br/>
            <w:t>"Об утверждении планов мероприят...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24.09.2026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210&amp;n=150502&amp;dst=100004" TargetMode = "External"/><Relationship Id="rId9" Type="http://schemas.openxmlformats.org/officeDocument/2006/relationships/hyperlink" Target="https://login.consultant.ru/link/?req=doc&amp;base=RLAW210&amp;n=151175&amp;dst=100004" TargetMode = "External"/><Relationship Id="rId10" Type="http://schemas.openxmlformats.org/officeDocument/2006/relationships/hyperlink" Target="https://login.consultant.ru/link/?req=doc&amp;base=RLAW210&amp;n=151175&amp;dst=100004" TargetMode = "External"/><Relationship Id="rId11" Type="http://schemas.openxmlformats.org/officeDocument/2006/relationships/hyperlink" Target="https://login.consultant.ru/link/?req=doc&amp;base=RLAW210&amp;n=144462&amp;dst=100014" TargetMode = "External"/><Relationship Id="rId12" Type="http://schemas.openxmlformats.org/officeDocument/2006/relationships/hyperlink" Target="https://login.consultant.ru/link/?req=doc&amp;base=RLAW210&amp;n=151175&amp;dst=100005" TargetMode = "External"/><Relationship Id="rId13" Type="http://schemas.openxmlformats.org/officeDocument/2006/relationships/hyperlink" Target="https://login.consultant.ru/link/?req=doc&amp;base=RLAW210&amp;n=151175&amp;dst=100006" TargetMode = "External"/><Relationship Id="rId14" Type="http://schemas.openxmlformats.org/officeDocument/2006/relationships/hyperlink" Target="https://login.consultant.ru/link/?req=doc&amp;base=RLAW210&amp;n=151175&amp;dst=100016" TargetMode = "External"/><Relationship Id="rId15" Type="http://schemas.openxmlformats.org/officeDocument/2006/relationships/hyperlink" Target="https://login.consultant.ru/link/?req=doc&amp;base=RLAW210&amp;n=151175&amp;dst=100017" TargetMode = "External"/><Relationship Id="rId16" Type="http://schemas.openxmlformats.org/officeDocument/2006/relationships/hyperlink" Target="https://login.consultant.ru/link/?req=doc&amp;base=RLAW210&amp;n=151175&amp;dst=100017" TargetMode = "External"/><Relationship Id="rId17" Type="http://schemas.openxmlformats.org/officeDocument/2006/relationships/hyperlink" Target="https://login.consultant.ru/link/?req=doc&amp;base=RLAW210&amp;n=150502&amp;dst=100004" TargetMode = "External"/><Relationship Id="rId18" Type="http://schemas.openxmlformats.org/officeDocument/2006/relationships/header" Target="header2.xml"/><Relationship Id="rId19" Type="http://schemas.openxmlformats.org/officeDocument/2006/relationships/footer" Target="footer2.xml"/><Relationship Id="rId20" Type="http://schemas.openxmlformats.org/officeDocument/2006/relationships/hyperlink" Target="https://login.consultant.ru/link/?req=doc&amp;base=RLAW210&amp;n=150502&amp;dst=100122" TargetMode = "External"/><Relationship Id="rId21" Type="http://schemas.openxmlformats.org/officeDocument/2006/relationships/hyperlink" Target="https://login.consultant.ru/link/?req=doc&amp;base=RLAW210&amp;n=150502&amp;dst=100178" TargetMode = "External"/><Relationship Id="rId22" Type="http://schemas.openxmlformats.org/officeDocument/2006/relationships/hyperlink" Target="https://login.consultant.ru/link/?req=doc&amp;base=RLAW210&amp;n=150502&amp;dst=100271" TargetMode = "External"/><Relationship Id="rId23" Type="http://schemas.openxmlformats.org/officeDocument/2006/relationships/hyperlink" Target="https://login.consultant.ru/link/?req=doc&amp;base=RLAW210&amp;n=150502&amp;dst=100341" TargetMode = "External"/><Relationship Id="rId24" Type="http://schemas.openxmlformats.org/officeDocument/2006/relationships/hyperlink" Target="https://login.consultant.ru/link/?req=doc&amp;base=RLAW210&amp;n=150502&amp;dst=100433" TargetMode = "External"/><Relationship Id="rId25" Type="http://schemas.openxmlformats.org/officeDocument/2006/relationships/hyperlink" Target="https://login.consultant.ru/link/?req=doc&amp;base=RLAW210&amp;n=150502&amp;dst=100538" TargetMode = "External"/><Relationship Id="rId26" Type="http://schemas.openxmlformats.org/officeDocument/2006/relationships/hyperlink" Target="https://login.consultant.ru/link/?req=doc&amp;base=RLAW210&amp;n=151175&amp;dst=100018" TargetMode = "External"/><Relationship Id="rId27" Type="http://schemas.openxmlformats.org/officeDocument/2006/relationships/hyperlink" Target="https://login.consultant.ru/link/?req=doc&amp;base=RLAW210&amp;n=151175&amp;dst=100019" TargetMode = "External"/><Relationship Id="rId28" Type="http://schemas.openxmlformats.org/officeDocument/2006/relationships/hyperlink" Target="https://login.consultant.ru/link/?req=doc&amp;base=RLAW210&amp;n=151175&amp;dst=100019"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Губернатора Сахалинской области от 15.08.2025 N 201-р
(ред. от 18.12.2025)
"Об утверждении планов мероприятий ("дорожных карт") по достижению целевых значений ключевых показателей эффективности Национальной модели целевых условий ведения бизнеса в Сахалинской области до 2030 года"
(вместе с "Планом мероприятий ("дорожной картой") по достижению целевых значений ключевых показателей эффективности Национальной модели по фактору "Эффективность процедур по выдаче разрешений на строительство", "Плано</dc:title>
  <dcterms:created xsi:type="dcterms:W3CDTF">2026-09-23T22:59:45Z</dcterms:created>
</cp:coreProperties>
</file>