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ind w:firstLine="709"/>
        <w:jc w:val="center"/>
        <w:rPr>
          <w:b/>
        </w:rPr>
      </w:pPr>
      <w:r>
        <w:rPr>
          <w:b/>
        </w:rPr>
        <w:t>Инвестиционные разделы стратегии социально-экономического развития Сахалинской области</w:t>
      </w:r>
    </w:p>
    <w:p>
      <w:pPr>
        <w:pStyle w:val="Normal"/>
        <w:ind w:firstLine="709"/>
        <w:jc w:val="both"/>
        <w:rPr>
          <w:b/>
        </w:rPr>
      </w:pPr>
      <w:r>
        <w:rPr>
          <w:b/>
        </w:rPr>
      </w:r>
    </w:p>
    <w:p>
      <w:pPr>
        <w:pStyle w:val="Normal"/>
        <w:ind w:firstLine="709"/>
        <w:jc w:val="both"/>
        <w:rPr>
          <w:b/>
        </w:rPr>
      </w:pPr>
      <w:r>
        <w:rPr>
          <w:b/>
        </w:rPr>
        <w:t>1. Уникальный потенциал и существенные конкурентные преимущества</w:t>
      </w:r>
    </w:p>
    <w:p>
      <w:pPr>
        <w:pStyle w:val="Normal"/>
        <w:ind w:firstLine="709"/>
        <w:jc w:val="both"/>
        <w:rPr/>
      </w:pPr>
      <w:r>
        <w:rPr/>
        <w:t>К ключевым конкурентным преимуществам Сахалинской области, обуславливающим ее уникальный потенциал развития, относятся:</w:t>
      </w:r>
    </w:p>
    <w:p>
      <w:pPr>
        <w:pStyle w:val="Normal"/>
        <w:ind w:firstLine="709"/>
        <w:jc w:val="both"/>
        <w:rPr/>
      </w:pPr>
      <w:r>
        <w:rPr/>
        <w:t>1) специализация в области добычи на шельфе. Добыча на шельфе - самое быстроразвивающееся технологическое направление в мировой нефтегазовой отрасли. Крупнейшие региональные проекты в области нефтегазодобычи - "Сахалин-1" и "Сахалин-2" - это шельфовые проекты. Освоение углеводородных ресурсов шельфа входит в число главных стратегических направлений развития региона. К 2035 г. более 35% углеводородов будет добываться в океане, у Сахалинской области есть возможность занять в этих процессах лидирующую роль;</w:t>
      </w:r>
    </w:p>
    <w:p>
      <w:pPr>
        <w:pStyle w:val="Normal"/>
        <w:ind w:firstLine="709"/>
        <w:jc w:val="both"/>
        <w:rPr/>
      </w:pPr>
      <w:r>
        <w:rPr/>
        <w:t>2) неосвоенные запасы природных ресурсов:</w:t>
      </w:r>
    </w:p>
    <w:p>
      <w:pPr>
        <w:pStyle w:val="Normal"/>
        <w:ind w:firstLine="709"/>
        <w:jc w:val="both"/>
        <w:rPr/>
      </w:pPr>
      <w:r>
        <w:rPr/>
        <w:t>- запасы нефти, газа, газового конденсата, угля;</w:t>
      </w:r>
    </w:p>
    <w:p>
      <w:pPr>
        <w:pStyle w:val="Normal"/>
        <w:ind w:firstLine="709"/>
        <w:jc w:val="both"/>
        <w:rPr/>
      </w:pPr>
      <w:r>
        <w:rPr/>
        <w:t>- запасы металлов (железа, золота, серебра, редкоземельных металлов, которые почти не добываются);</w:t>
      </w:r>
    </w:p>
    <w:p>
      <w:pPr>
        <w:pStyle w:val="Normal"/>
        <w:ind w:firstLine="709"/>
        <w:jc w:val="both"/>
        <w:rPr/>
      </w:pPr>
      <w:r>
        <w:rPr/>
        <w:t>- водные биологические ресурсы, формирующие потенциал развития на территории региона хозяйств промышленной марикультуры;</w:t>
      </w:r>
    </w:p>
    <w:p>
      <w:pPr>
        <w:pStyle w:val="Normal"/>
        <w:ind w:firstLine="709"/>
        <w:jc w:val="both"/>
        <w:rPr/>
      </w:pPr>
      <w:r>
        <w:rPr/>
        <w:t>- лесные ресурсы, богатые запасы лесных насаждений;</w:t>
      </w:r>
    </w:p>
    <w:p>
      <w:pPr>
        <w:pStyle w:val="Normal"/>
        <w:ind w:firstLine="709"/>
        <w:jc w:val="both"/>
        <w:rPr/>
      </w:pPr>
      <w:r>
        <w:rPr/>
        <w:t>- природные рекреационные ресурсы, в т.ч. геоморфологические (горы, лечебные грязи, минеральные и термальные воды), создающие возможности для развития туристической инфраструктуры;</w:t>
      </w:r>
    </w:p>
    <w:p>
      <w:pPr>
        <w:pStyle w:val="Normal"/>
        <w:ind w:firstLine="709"/>
        <w:jc w:val="both"/>
        <w:rPr/>
      </w:pPr>
      <w:r>
        <w:rPr/>
        <w:t>- потенциал возобновляемых источников энергии (ветро-, солнечной, геотермальной и др.).</w:t>
      </w:r>
    </w:p>
    <w:p>
      <w:pPr>
        <w:pStyle w:val="Normal"/>
        <w:ind w:firstLine="709"/>
        <w:jc w:val="both"/>
        <w:rPr/>
      </w:pPr>
      <w:r>
        <w:rPr/>
        <w:t>За счет вовлечения неиспользуемых в настоящее время ресурсов в хозяйственный оборот Сахалинская область может увеличить объем экономики и выпуск промышленных производств, как минимум, вдвое;</w:t>
      </w:r>
    </w:p>
    <w:p>
      <w:pPr>
        <w:pStyle w:val="Normal"/>
        <w:ind w:firstLine="709"/>
        <w:jc w:val="both"/>
        <w:rPr/>
      </w:pPr>
      <w:r>
        <w:rPr/>
        <w:t>3) вовлеченность в экономику быстро развивающегося Азиатско-Тихоокеанского региона, темпы роста большинства рынков которого превышают мировые.</w:t>
      </w:r>
    </w:p>
    <w:p>
      <w:pPr>
        <w:pStyle w:val="Normal"/>
        <w:ind w:firstLine="709"/>
        <w:jc w:val="both"/>
        <w:rPr/>
      </w:pPr>
      <w:r>
        <w:rPr>
          <w:b/>
        </w:rPr>
        <w:t xml:space="preserve">2. </w:t>
      </w:r>
      <w:r>
        <w:rPr>
          <w:b/>
        </w:rPr>
        <w:t>Приоритеты, цели и задачи социально-экономического развития Сахалинской области на период до</w:t>
      </w:r>
      <w:r>
        <w:rPr>
          <w:b/>
        </w:rPr>
        <w:t xml:space="preserve"> 2035 </w:t>
      </w:r>
      <w:r>
        <w:rPr>
          <w:b/>
        </w:rPr>
        <w:t>года</w:t>
      </w:r>
    </w:p>
    <w:p>
      <w:pPr>
        <w:pStyle w:val="Normal"/>
        <w:ind w:firstLine="709"/>
        <w:jc w:val="both"/>
        <w:rPr/>
      </w:pPr>
      <w:r>
        <w:rPr/>
        <w:t>На основании комплексного анализа социально-экономического развития Сахалинской области сформулированы миссия и основные стратегические направления ее реализации - приоритеты развития Сахалинской области на долгосрочную перспективу. Миссия Сахалинской области - стать динамично развивающейся территорией на Дальнем Востоке, лидирующей по качеству жизни и эффективности экономических кластеров.</w:t>
      </w:r>
    </w:p>
    <w:p>
      <w:pPr>
        <w:pStyle w:val="Normal"/>
        <w:ind w:firstLine="709"/>
        <w:jc w:val="both"/>
        <w:rPr/>
      </w:pPr>
      <w:r>
        <w:rPr/>
        <w:t>Приоритетами социально-экономического развития Сахалинской области на период до 2035 г. являются:</w:t>
      </w:r>
    </w:p>
    <w:p>
      <w:pPr>
        <w:pStyle w:val="Normal"/>
        <w:ind w:firstLine="709"/>
        <w:jc w:val="both"/>
        <w:rPr/>
      </w:pPr>
      <w:r>
        <w:rPr/>
        <w:t>1) новое позиционирование региона на Дальнем Востоке и в АТР;</w:t>
      </w:r>
    </w:p>
    <w:p>
      <w:pPr>
        <w:pStyle w:val="Normal"/>
        <w:ind w:firstLine="709"/>
        <w:jc w:val="both"/>
        <w:rPr/>
      </w:pPr>
      <w:r>
        <w:rPr/>
        <w:t>2) передовая социальная, инженерная и промышленно-технологическая инфраструктура, соответствующая передовым мировым практикам и стандартам;</w:t>
      </w:r>
    </w:p>
    <w:p>
      <w:pPr>
        <w:pStyle w:val="Normal"/>
        <w:ind w:firstLine="709"/>
        <w:jc w:val="both"/>
        <w:rPr/>
      </w:pPr>
      <w:r>
        <w:rPr/>
        <w:t>3) новое качество человеческого капитала;</w:t>
      </w:r>
    </w:p>
    <w:p>
      <w:pPr>
        <w:pStyle w:val="Normal"/>
        <w:ind w:firstLine="709"/>
        <w:jc w:val="both"/>
        <w:rPr/>
      </w:pPr>
      <w:r>
        <w:rPr/>
        <w:t>4) новые производственные кластеры и точки роста, форсированное развитие базовых отраслей Сахалинской области.</w:t>
      </w:r>
    </w:p>
    <w:p>
      <w:pPr>
        <w:pStyle w:val="Normal"/>
        <w:ind w:firstLine="709"/>
        <w:jc w:val="both"/>
        <w:rPr/>
      </w:pPr>
      <w:r>
        <w:rPr/>
        <w:t>Стратегическая цель социально-экономического развития региона - создание условий для интенсивного экономического роста и повышения уровня и качества жизни. Ключевые индикаторы достижения цели:</w:t>
      </w:r>
    </w:p>
    <w:p>
      <w:pPr>
        <w:pStyle w:val="Normal"/>
        <w:ind w:firstLine="709"/>
        <w:jc w:val="both"/>
        <w:rPr/>
      </w:pPr>
      <w:r>
        <w:rPr/>
        <w:t>- обеспечение среднегодового прироста ВРП не менее 6%;</w:t>
      </w:r>
    </w:p>
    <w:p>
      <w:pPr>
        <w:pStyle w:val="Normal"/>
        <w:ind w:firstLine="709"/>
        <w:jc w:val="both"/>
        <w:rPr/>
      </w:pPr>
      <w:r>
        <w:rPr/>
        <w:t>- попадание в ТОП-20 регионов - национальных лидеров по качеству жизни.</w:t>
      </w:r>
    </w:p>
    <w:p>
      <w:pPr>
        <w:pStyle w:val="Normal"/>
        <w:ind w:firstLine="709"/>
        <w:jc w:val="both"/>
        <w:rPr/>
      </w:pPr>
      <w:r>
        <w:rPr/>
        <w:t>Для достижения стратегической цели социально-экономического развития необходимо решение следующих задач:</w:t>
      </w:r>
    </w:p>
    <w:p>
      <w:pPr>
        <w:pStyle w:val="Normal"/>
        <w:ind w:firstLine="709"/>
        <w:jc w:val="both"/>
        <w:rPr/>
      </w:pPr>
      <w:r>
        <w:rPr/>
        <w:t>1) обеспечение интенсивного экономического роста:</w:t>
      </w:r>
    </w:p>
    <w:p>
      <w:pPr>
        <w:pStyle w:val="Normal"/>
        <w:ind w:firstLine="709"/>
        <w:jc w:val="both"/>
        <w:rPr/>
      </w:pPr>
      <w:r>
        <w:rPr/>
        <w:t>- запуск новых проектов для форсированного развития сырьевого сектора и разворачивание системы отраслевых сервисов, локализованных на территории региона по отраслям:</w:t>
      </w:r>
    </w:p>
    <w:p>
      <w:pPr>
        <w:pStyle w:val="Normal"/>
        <w:ind w:firstLine="709"/>
        <w:jc w:val="both"/>
        <w:rPr/>
      </w:pPr>
      <w:r>
        <w:rPr/>
        <w:t>- нефтегазовый комплекс;</w:t>
      </w:r>
    </w:p>
    <w:p>
      <w:pPr>
        <w:pStyle w:val="Normal"/>
        <w:ind w:firstLine="709"/>
        <w:jc w:val="both"/>
        <w:rPr/>
      </w:pPr>
      <w:r>
        <w:rPr/>
        <w:t>- угольная отрасль;</w:t>
      </w:r>
    </w:p>
    <w:p>
      <w:pPr>
        <w:pStyle w:val="Normal"/>
        <w:ind w:firstLine="709"/>
        <w:jc w:val="both"/>
        <w:rPr/>
      </w:pPr>
      <w:r>
        <w:rPr/>
        <w:t>- рыбопромышленный комплекс (включающий подотрасли пищевой и перерабатывающей промышленности, связанные с переработкой рыбы, рыбопродуктов и морепродуктов);</w:t>
      </w:r>
    </w:p>
    <w:p>
      <w:pPr>
        <w:pStyle w:val="Normal"/>
        <w:ind w:firstLine="709"/>
        <w:jc w:val="both"/>
        <w:rPr/>
      </w:pPr>
      <w:r>
        <w:rPr/>
        <w:t>- формирование новых кластеров - усложнение производственных цепочек в сырьевых и поддерживающих отраслях:</w:t>
      </w:r>
    </w:p>
    <w:p>
      <w:pPr>
        <w:pStyle w:val="Normal"/>
        <w:ind w:firstLine="709"/>
        <w:jc w:val="both"/>
        <w:rPr/>
      </w:pPr>
      <w:r>
        <w:rPr/>
        <w:t>- нефтегазохимия;</w:t>
      </w:r>
    </w:p>
    <w:p>
      <w:pPr>
        <w:pStyle w:val="Normal"/>
        <w:ind w:firstLine="709"/>
        <w:jc w:val="both"/>
        <w:rPr/>
      </w:pPr>
      <w:r>
        <w:rPr/>
        <w:t>- лесной комплекс;</w:t>
      </w:r>
    </w:p>
    <w:p>
      <w:pPr>
        <w:pStyle w:val="Normal"/>
        <w:ind w:firstLine="709"/>
        <w:jc w:val="both"/>
        <w:rPr/>
      </w:pPr>
      <w:r>
        <w:rPr/>
        <w:t>- агропромышленный комплекс (включающий подотрасли пищевой и перерабатывающей промышленности, связанные с переработкой сельскохозяйственной продукции);</w:t>
      </w:r>
    </w:p>
    <w:p>
      <w:pPr>
        <w:pStyle w:val="Normal"/>
        <w:ind w:firstLine="709"/>
        <w:jc w:val="both"/>
        <w:rPr/>
      </w:pPr>
      <w:r>
        <w:rPr/>
        <w:t>- создание точек роста, способных обеспечить реструктуризацию экономики Сахалинской области в долгосрочной перспективе:</w:t>
      </w:r>
    </w:p>
    <w:p>
      <w:pPr>
        <w:pStyle w:val="Normal"/>
        <w:ind w:firstLine="709"/>
        <w:jc w:val="both"/>
        <w:rPr/>
      </w:pPr>
      <w:r>
        <w:rPr/>
        <w:t>- туризм и новая городская экономика;</w:t>
      </w:r>
    </w:p>
    <w:p>
      <w:pPr>
        <w:pStyle w:val="Normal"/>
        <w:ind w:firstLine="709"/>
        <w:jc w:val="both"/>
        <w:rPr/>
      </w:pPr>
      <w:r>
        <w:rPr/>
        <w:t>- марикультура;</w:t>
      </w:r>
    </w:p>
    <w:p>
      <w:pPr>
        <w:pStyle w:val="Normal"/>
        <w:ind w:firstLine="709"/>
        <w:jc w:val="both"/>
        <w:rPr/>
      </w:pPr>
      <w:r>
        <w:rPr/>
        <w:t>2) формирование эффективной социальной сферы, отвечающей потребностям современных жителей региона и не уступающей по качеству передовым регионам Юго-Восточной Азии:</w:t>
      </w:r>
    </w:p>
    <w:p>
      <w:pPr>
        <w:pStyle w:val="Normal"/>
        <w:ind w:firstLine="709"/>
        <w:jc w:val="both"/>
        <w:rPr/>
      </w:pPr>
      <w:r>
        <w:rPr/>
        <w:t>- здравоохранение;</w:t>
      </w:r>
    </w:p>
    <w:p>
      <w:pPr>
        <w:pStyle w:val="Normal"/>
        <w:ind w:firstLine="709"/>
        <w:jc w:val="both"/>
        <w:rPr/>
      </w:pPr>
      <w:r>
        <w:rPr/>
        <w:t>- образование;</w:t>
      </w:r>
    </w:p>
    <w:p>
      <w:pPr>
        <w:pStyle w:val="Normal"/>
        <w:ind w:firstLine="709"/>
        <w:jc w:val="both"/>
        <w:rPr/>
      </w:pPr>
      <w:r>
        <w:rPr/>
        <w:t>- доходы населения и рынок труда;</w:t>
      </w:r>
    </w:p>
    <w:p>
      <w:pPr>
        <w:pStyle w:val="Normal"/>
        <w:ind w:firstLine="709"/>
        <w:jc w:val="both"/>
        <w:rPr/>
      </w:pPr>
      <w:r>
        <w:rPr/>
        <w:t>- демография и миграция;</w:t>
      </w:r>
    </w:p>
    <w:p>
      <w:pPr>
        <w:pStyle w:val="Normal"/>
        <w:ind w:firstLine="709"/>
        <w:jc w:val="both"/>
        <w:rPr/>
      </w:pPr>
      <w:r>
        <w:rPr/>
        <w:t>- работа с молодежью;</w:t>
      </w:r>
    </w:p>
    <w:p>
      <w:pPr>
        <w:pStyle w:val="Normal"/>
        <w:ind w:firstLine="709"/>
        <w:jc w:val="both"/>
        <w:rPr/>
      </w:pPr>
      <w:r>
        <w:rPr/>
        <w:t>- обеспечение безопасности жизнедеятельности;</w:t>
      </w:r>
    </w:p>
    <w:p>
      <w:pPr>
        <w:pStyle w:val="Normal"/>
        <w:ind w:firstLine="709"/>
        <w:jc w:val="both"/>
        <w:rPr/>
      </w:pPr>
      <w:r>
        <w:rPr/>
        <w:t>- обеспеченность жильем;</w:t>
      </w:r>
    </w:p>
    <w:p>
      <w:pPr>
        <w:pStyle w:val="Normal"/>
        <w:ind w:firstLine="709"/>
        <w:jc w:val="both"/>
        <w:rPr/>
      </w:pPr>
      <w:r>
        <w:rPr/>
        <w:t>3) ускоренное развитие критически важных инфраструктур, обеспечивающее связность и эффективное хозяйственное освоение территорий, снижение экологических, климатических и сейсмических рисков:</w:t>
      </w:r>
    </w:p>
    <w:p>
      <w:pPr>
        <w:pStyle w:val="Normal"/>
        <w:ind w:firstLine="709"/>
        <w:jc w:val="both"/>
        <w:rPr/>
      </w:pPr>
      <w:r>
        <w:rPr/>
        <w:t>- городская среда;</w:t>
      </w:r>
    </w:p>
    <w:p>
      <w:pPr>
        <w:pStyle w:val="Normal"/>
        <w:ind w:firstLine="709"/>
        <w:jc w:val="both"/>
        <w:rPr/>
      </w:pPr>
      <w:r>
        <w:rPr/>
        <w:t>- ЖКХ;</w:t>
      </w:r>
    </w:p>
    <w:p>
      <w:pPr>
        <w:pStyle w:val="Normal"/>
        <w:ind w:firstLine="709"/>
        <w:jc w:val="both"/>
        <w:rPr/>
      </w:pPr>
      <w:r>
        <w:rPr/>
        <w:t>- строительный комплекс;</w:t>
      </w:r>
    </w:p>
    <w:p>
      <w:pPr>
        <w:pStyle w:val="Normal"/>
        <w:ind w:firstLine="709"/>
        <w:jc w:val="both"/>
        <w:rPr/>
      </w:pPr>
      <w:r>
        <w:rPr/>
        <w:t>- газификация;</w:t>
      </w:r>
    </w:p>
    <w:p>
      <w:pPr>
        <w:pStyle w:val="Normal"/>
        <w:ind w:firstLine="709"/>
        <w:jc w:val="both"/>
        <w:rPr/>
      </w:pPr>
      <w:r>
        <w:rPr/>
        <w:t>- электроэнергетика;</w:t>
      </w:r>
    </w:p>
    <w:p>
      <w:pPr>
        <w:pStyle w:val="Normal"/>
        <w:ind w:firstLine="709"/>
        <w:jc w:val="both"/>
        <w:rPr/>
      </w:pPr>
      <w:r>
        <w:rPr/>
        <w:t>- цифровая инфраструктура (в т.ч. связь);</w:t>
      </w:r>
    </w:p>
    <w:p>
      <w:pPr>
        <w:pStyle w:val="Normal"/>
        <w:ind w:firstLine="709"/>
        <w:jc w:val="both"/>
        <w:rPr/>
      </w:pPr>
      <w:r>
        <w:rPr/>
        <w:t>- транспорт;</w:t>
      </w:r>
    </w:p>
    <w:p>
      <w:pPr>
        <w:pStyle w:val="Normal"/>
        <w:ind w:firstLine="709"/>
        <w:jc w:val="both"/>
        <w:rPr/>
      </w:pPr>
      <w:r>
        <w:rPr/>
        <w:t>- рациональное природопользование и обеспечение экологической безопасности;</w:t>
      </w:r>
    </w:p>
    <w:p>
      <w:pPr>
        <w:pStyle w:val="Normal"/>
        <w:ind w:firstLine="709"/>
        <w:jc w:val="both"/>
        <w:rPr/>
      </w:pPr>
      <w:r>
        <w:rPr/>
        <w:t>4) развитие научно-инновационной сферы региона, достижение уровня, способного обеспечить решение технологических задач, возникающих в экономике и социальной сфере Сахалинской области, а также позиционирование региона в российском и мировом научно-исследовательском секторе;</w:t>
      </w:r>
    </w:p>
    <w:p>
      <w:pPr>
        <w:pStyle w:val="Normal"/>
        <w:ind w:firstLine="709"/>
        <w:jc w:val="both"/>
        <w:rPr/>
      </w:pPr>
      <w:r>
        <w:rPr/>
        <w:t>5) развитие межрегиональных и внешнеэкономических связей;</w:t>
      </w:r>
    </w:p>
    <w:p>
      <w:pPr>
        <w:pStyle w:val="Normal"/>
        <w:ind w:firstLine="709"/>
        <w:jc w:val="both"/>
        <w:rPr/>
      </w:pPr>
      <w:r>
        <w:rPr/>
        <w:t>6) реализация мер по сокращению выбросов и увеличению поглощения парниковых газов и создание системы углеродного регулирования;</w:t>
      </w:r>
    </w:p>
    <w:p>
      <w:pPr>
        <w:pStyle w:val="Normal"/>
        <w:ind w:firstLine="709"/>
        <w:jc w:val="both"/>
        <w:rPr/>
      </w:pPr>
      <w:r>
        <w:rPr/>
        <w:t>7) адаптация к изменению климата и совершенствование систем раннего оповещения и реагирования на опасные природные явления;</w:t>
      </w:r>
    </w:p>
    <w:p>
      <w:pPr>
        <w:pStyle w:val="Normal"/>
        <w:ind w:firstLine="709"/>
        <w:jc w:val="both"/>
        <w:rPr/>
      </w:pPr>
      <w:r>
        <w:rPr/>
        <w:t>8) пространственное развитие региона: преодоление пространственной несбалансированности, в т.ч. несбалансированности системы расселения;</w:t>
      </w:r>
    </w:p>
    <w:p>
      <w:pPr>
        <w:pStyle w:val="Normal"/>
        <w:ind w:firstLine="709"/>
        <w:jc w:val="both"/>
        <w:rPr/>
      </w:pPr>
      <w:r>
        <w:rPr/>
        <w:t>9) формирование системы управления развитием региона, адекватно реагирующей на риски и изменения внешней среды, обеспечивающей эффективное использование бюджетных средств и иных ресурсов с учетом всех доступных современных форматов и механизмов, в т.ч. действующих на федеральном уровне;</w:t>
      </w:r>
    </w:p>
    <w:p>
      <w:pPr>
        <w:pStyle w:val="Normal"/>
        <w:ind w:firstLine="709"/>
        <w:jc w:val="both"/>
        <w:rPr/>
      </w:pPr>
      <w:r>
        <w:rPr/>
        <w:t>10) повышение инвестиционной привлекательности Сахалинской области. Инвестиционная политика региона нацелена на создание благоприятных условий для инвестиционной, предпринимательской, инновационной деятельности.</w:t>
      </w:r>
    </w:p>
    <w:p>
      <w:pPr>
        <w:pStyle w:val="Normal"/>
        <w:ind w:firstLine="709"/>
        <w:jc w:val="both"/>
        <w:rPr/>
      </w:pPr>
      <w:r>
        <w:rPr/>
        <w:t>Основными задачами для достижения стратегической цели инвестиционной политики являются:</w:t>
      </w:r>
    </w:p>
    <w:p>
      <w:pPr>
        <w:pStyle w:val="Normal"/>
        <w:ind w:firstLine="709"/>
        <w:jc w:val="both"/>
        <w:rPr/>
      </w:pPr>
      <w:r>
        <w:rPr/>
        <w:t>- устранение инфраструктурных ограничений и административных барьеров для развития предпринимательской и инвестиционной деятельности;</w:t>
      </w:r>
    </w:p>
    <w:p>
      <w:pPr>
        <w:pStyle w:val="Normal"/>
        <w:ind w:firstLine="709"/>
        <w:jc w:val="both"/>
        <w:rPr/>
      </w:pPr>
      <w:r>
        <w:rPr/>
        <w:t>- совершенствование инструментов государственной финансовой поддержки инвестиционной деятельности;</w:t>
      </w:r>
    </w:p>
    <w:p>
      <w:pPr>
        <w:pStyle w:val="Normal"/>
        <w:ind w:firstLine="709"/>
        <w:jc w:val="both"/>
        <w:rPr/>
      </w:pPr>
      <w:r>
        <w:rPr/>
        <w:t>- расширение возможности использования информационных технологий при предоставлении государственных (муниципальных) услуг;</w:t>
      </w:r>
    </w:p>
    <w:p>
      <w:pPr>
        <w:pStyle w:val="Normal"/>
        <w:ind w:firstLine="709"/>
        <w:jc w:val="both"/>
        <w:rPr/>
      </w:pPr>
      <w:r>
        <w:rPr/>
        <w:t>- развитие человеческого потенциала и совершенствование системы подготовки и переподготовки кадров, ориентированной на потребности субъектов предпринимательской и инвестиционной деятельности;</w:t>
      </w:r>
    </w:p>
    <w:p>
      <w:pPr>
        <w:pStyle w:val="Normal"/>
        <w:ind w:firstLine="709"/>
        <w:jc w:val="both"/>
        <w:rPr/>
      </w:pPr>
      <w:r>
        <w:rPr/>
        <w:t>- эффективное продвижение инвестиционного потенциала региона на российском и международных уровнях.</w:t>
      </w:r>
    </w:p>
    <w:p>
      <w:pPr>
        <w:pStyle w:val="Normal"/>
        <w:ind w:firstLine="709"/>
        <w:jc w:val="both"/>
        <w:rPr/>
      </w:pPr>
      <w:r>
        <w:rPr/>
        <w:t>Реализация Стратегии планируется в три этапа:</w:t>
      </w:r>
    </w:p>
    <w:p>
      <w:pPr>
        <w:pStyle w:val="Normal"/>
        <w:ind w:firstLine="709"/>
        <w:jc w:val="both"/>
        <w:rPr/>
      </w:pPr>
      <w:r>
        <w:rPr/>
        <w:t>- 2019 - 2024 гг.;</w:t>
      </w:r>
    </w:p>
    <w:p>
      <w:pPr>
        <w:pStyle w:val="Normal"/>
        <w:ind w:firstLine="709"/>
        <w:jc w:val="both"/>
        <w:rPr/>
      </w:pPr>
      <w:r>
        <w:rPr/>
        <w:t>- 2024 - 2030 гг.;</w:t>
      </w:r>
    </w:p>
    <w:p>
      <w:pPr>
        <w:pStyle w:val="Normal"/>
        <w:ind w:firstLine="709"/>
        <w:jc w:val="both"/>
        <w:rPr/>
      </w:pPr>
      <w:r>
        <w:rPr/>
        <w:t>- 2030 - 2035 гг.</w:t>
      </w:r>
    </w:p>
    <w:p>
      <w:pPr>
        <w:pStyle w:val="Normal"/>
        <w:ind w:firstLine="709"/>
        <w:jc w:val="both"/>
        <w:rPr/>
      </w:pPr>
      <w:r>
        <w:rPr/>
        <w:t>К 2024 г. Сахалинская область должна стать приоритетной территорией развития на Дальнем Востоке, в регионе должны быть сформированы цифровые системы управления инфраструктурой и строительством, качественная городская среда, в т.ч. персонифицированные социальные системы, заложены основы новых промышленных кластеров и запущены проекты нового ресурсного освоения. Среднегодовой прирост ВРП (за 5 лет, предшествующих отчетному году) к 2024 г. должен составить не менее 6%, позиция в рейтинге субъектов Российской Федерации по качеству жизни - попадание в ТОП-25, соответствуя когорте, где присутствуют регионы-лидеры со схожими экономическими показателями на душу населения (Москва, Санкт-Петербург, Московская область) и регионы со схожей сырьевой специализацией (Татарстан, Ямало-Ненецкий автономный округ и др.).</w:t>
      </w:r>
    </w:p>
    <w:p>
      <w:pPr>
        <w:pStyle w:val="Normal"/>
        <w:ind w:firstLine="709"/>
        <w:jc w:val="both"/>
        <w:rPr/>
      </w:pPr>
      <w:r>
        <w:rPr/>
        <w:t>К 2030 г. в регионе должна быть сформирована эффективная экономика и социальная сфера, в т.ч. закреплены лидерские позиции Сахалинской области в привлечении инвестиций в новые отрасли, сформирована инфраструктура, соответствующая стандартам стран АТР, сформированы эффективные экономические кластеры, обеспечен интенсивный рост базового сектора за счет развитой системы технологических сервисов. Среднегодовой прирост ВРП (за 5 лет, предшествующих отчетному году) к 2030 г. должен составить не менее 6%, позиция в рейтинге субъектов Российской Федерации по качеству жизни - попадание в ТОП-20 (близость к регионам с высокой инновационной составляющей).</w:t>
      </w:r>
    </w:p>
    <w:p>
      <w:pPr>
        <w:pStyle w:val="Normal"/>
        <w:ind w:firstLine="709"/>
        <w:jc w:val="both"/>
        <w:rPr/>
      </w:pPr>
      <w:r>
        <w:rPr/>
        <w:t>К 2035 г. стратегическая цель социально-экономического развития региона должна быть достигнута. Среднегодовой прирост ВРП (за 5 лет, предшествующих отчетному году) к 2035 г. должен составить не менее 6%, позиция в рейтинге субъектов Российской Федерации по качеству жизни - попадание в ТОП-20.</w:t>
      </w:r>
    </w:p>
    <w:p>
      <w:pPr>
        <w:pStyle w:val="Normal"/>
        <w:ind w:firstLine="709"/>
        <w:jc w:val="both"/>
        <w:rPr/>
      </w:pPr>
      <w:r>
        <w:rPr/>
        <w:t>Подробный перечень взаимоувязанных мер, необходимых для решения вышеуказанных задач и достижения стратегической цели в соответствии с выделенными приоритетами, а также конкретные временные периоды их реализации приведены в Плане мероприятий по реализации Стратегии социально-экономического развития Сахалинской области на период до 2035 г.</w:t>
      </w:r>
    </w:p>
    <w:p>
      <w:pPr>
        <w:pStyle w:val="Normal"/>
        <w:ind w:firstLine="709"/>
        <w:jc w:val="both"/>
        <w:rPr/>
      </w:pPr>
      <w:r>
        <w:rPr>
          <w:b/>
        </w:rPr>
        <w:t>3. Направления экономического развития Сахалинской области</w:t>
      </w:r>
    </w:p>
    <w:p>
      <w:pPr>
        <w:pStyle w:val="Normal"/>
        <w:ind w:firstLine="709"/>
        <w:jc w:val="both"/>
        <w:rPr>
          <w:rFonts w:ascii="Calibri" w:hAnsi="Calibri" w:eastAsia="" w:cs="Calibri" w:eastAsiaTheme="minorEastAsia"/>
          <w:b/>
          <w:lang w:eastAsia="ru-RU"/>
        </w:rPr>
      </w:pPr>
      <w:r>
        <w:rPr>
          <w:b/>
        </w:rPr>
        <w:t xml:space="preserve">3.1. </w:t>
      </w:r>
      <w:r>
        <w:rPr>
          <w:b/>
        </w:rPr>
        <w:t>Нефтегазовый комплекс.</w:t>
      </w:r>
    </w:p>
    <w:p>
      <w:pPr>
        <w:pStyle w:val="Normal"/>
        <w:ind w:firstLine="709"/>
        <w:jc w:val="both"/>
        <w:rPr/>
      </w:pPr>
      <w:r>
        <w:rPr>
          <w:rFonts w:eastAsia="" w:cs="Calibri" w:eastAsiaTheme="minorEastAsia"/>
          <w:b/>
          <w:lang w:eastAsia="ru-RU"/>
        </w:rPr>
        <w:t>Меры по развитию отрасли и основные инвестиционные проекты, в т.ч. сроки, этапы и финансовое обеспечение развития</w:t>
      </w:r>
    </w:p>
    <w:p>
      <w:pPr>
        <w:pStyle w:val="Normal"/>
        <w:widowControl w:val="false"/>
        <w:spacing w:lineRule="auto" w:line="240" w:before="0" w:after="0"/>
        <w:jc w:val="center"/>
        <w:rPr>
          <w:rFonts w:ascii="Calibri" w:hAnsi="Calibri" w:eastAsia="" w:cs="Calibri" w:eastAsiaTheme="minorEastAsia"/>
          <w:lang w:eastAsia="ru-RU"/>
        </w:rPr>
      </w:pPr>
      <w:r>
        <w:rPr>
          <w:rFonts w:eastAsia="" w:cs="Calibri" w:eastAsiaTheme="minorEastAsia"/>
          <w:lang w:eastAsia="ru-RU"/>
        </w:rPr>
      </w:r>
    </w:p>
    <w:p>
      <w:pPr>
        <w:pStyle w:val="Normal"/>
        <w:widowControl w:val="false"/>
        <w:spacing w:lineRule="auto" w:line="240" w:before="0" w:after="0"/>
        <w:ind w:firstLine="540"/>
        <w:jc w:val="both"/>
        <w:rPr>
          <w:rFonts w:ascii="Calibri" w:hAnsi="Calibri" w:eastAsia="" w:cs="Calibri" w:eastAsiaTheme="minorEastAsia"/>
          <w:lang w:eastAsia="ru-RU"/>
        </w:rPr>
      </w:pPr>
      <w:r>
        <w:rPr>
          <w:rFonts w:eastAsia="" w:cs="Calibri" w:eastAsiaTheme="minorEastAsia"/>
          <w:lang w:eastAsia="ru-RU"/>
        </w:rPr>
        <w:t>Для развития нефтегазовой отрасли Сахалинской области необходимо использование всех возможных мер поддержки, направленных на:</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создание инновационной инфраструктуры;</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реализацию приоритетных инвестиционных проектов.</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В части внесения изменений в нормативно-правовую базу предполагается внедрение механизма гибкого лицензирования существующих и новых участков месторождений.</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Создание инновационной инфраструктуры предполагает:</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1) Создание регионального Центра компетенций в сфере геологии шельфа, нефти, газа и иных ресурсов.</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В число направлений деятельности Центра будет входить совершенствование методов и практик поиска, разведки и разработки шельфовых месторождений, а также обобщение опыта и оценка результатов экспериментального режима недропользования.</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Работа центра должна сопровождаться формированием современной единой цифровой платформы данных о запасах Сахалинского шельфа.</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2) Создание Сахалинского нефтегазового индустриального парка, в котором будут созданы все условия для развертывания нефтесервисных предприятий на площадке с готовой инфраструктурой и который будет включать производственно-техническую и ремонтную базы.</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В рамках реализации проекта планируется строительство следующих объектов:</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транспортно-логистическая база;</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производственная база;</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склад хранения химических веществ и реагентов для нефтедобычи;</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центр обработки данных;</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установка по криогенному хранению газов;</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прочие производственные объекты.</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Основной задачей создания Сахалинского нефтегазового индустриального парка является импортозамещение и создание условий для локализации на Сахалине мощностей для обслуживания шельфовых и других нефтегазовых проектов полного цикла, повышение квалификации специалистов в области нефтегазодобычи, обслуживание газотранспортной сети.</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Для предприятий отрасли создание Сахалинского нефтегазового индустриального парка обеспечит:</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устранение зависимости нефтегазовых предприятий от поставок оборудования и комплектующих из-за рубежа;</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снижение затрат при локализации нефтесервисных компаний на Сахалине;</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организацию работ заказчиков и подрядчиков нефтегазового сектора на единой территории;</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привлечение новых, инновационных и готовых к конкуренции компаний нефтегазового сектора.</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Реализация проекта будет иметь следующий социально-экономический эффект для Сахалинской области в целом:</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вклад в ВРП с учетом привлеченных инвесторов: до 51,4 млрд. руб. (2023 - 2040 гг.);</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увеличение доли локализации с 5% до 25% мощностей по обслуживанию шельфовых и других нефтегазовых проектов полного цикла на Сахалине;</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создание более 1000 новых рабочих мест, в том числе высокопроизводительных, за счет привлечения инвесторов;</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привлечение новых, инновационных и готовых к конкуренции компаний нефтегазового сектора;</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обеспечение роста производительности труда и ВРП в базовых несырьевых отраслях экономики на 5%;</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повышение уровня квалификации местных специалистов;</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снижение зависимости от поставок иностранного оборудования и комплектующих;</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сокращение рисков и издержек на техническое обслуживание, текущий и капитальный ремонт оборудования для нефтегазовых компаний.</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3) Использование современных институциональных форматов инструментов, таких как Комплексные научно-технические программы (КНТП/КПНИ) и Научно-образовательные центры с дальнейшим использованием возможностей и ресурсов, предусмотренных профильными Национальными проектами Российской Федерации.</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разработка Комплексной научно-технической программы по освоению шельфа в масштабах Российской Федерации;</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на уровне фундаментальной науки (НИР) на стадии создания научных и (или) научно-технических результатов и продукции для отрасли необходимо принятие решения о создании междисциплинарных опорных исследовательских центров (хабов) на базе ведущих научных организаций Сахалинской области с партнерами из других регионов;</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на уровне НИОКР (ОКР, прототипов) на стадии передачи научных и (или) научно-технических результатов и продукции для практического использования по отраслям необходимо принятие решений по созданию научных центров по приоритетным направлениям; обеспечению целевого приема (КЦП) в аспирантуре и магистратуре; созданию центров коллективного пользования;</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на уровне внедрения (создания производств) на стадии коммерциализации научных и (или) научно-технических результатов и продукции для отрасли необходимо принятие решений по запуску комплексных научно-технических проектов совместно с индустриальными партнерами;</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создание научно-образовательных центров мирового уровня (на конкурсной основе) в межрегиональной кооперации с вузами и НИИ по востребованным исследовательским повесткам;</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НОЦ по теме "Геологоразведка и технологии бурения", включая создание цифровой платформы данных по шельфовым лицензионным участкам и месторождениям углеводородов, создание Центра компетенций по шельфовым технологиям с полигоном для апробирования и подготовки их применения в условиях арктического шельфа (на конкурсной основе);</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НОЦ по теме "Исследования морских и природных ресурсов" (центр экологического мониторинга), в т.ч. в интересах нефтегазового сектора (в партнерстве с СКБ САМИ, Институтом морской геологии и геофизики ДВО РАН, Институтом вулканологии и сейсмологии ДВО РАН, ТюмГУ). В перспективе - создание национального центра мониторинга и моделирования экологической обстановки на российском шельфе АТР с базированием в г. Южно-Сахалинске;</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субсидирование локализации инжиниринговых центров. Создание центров инжиниринга, в т.ч. обратного (реверсивного), в области нефтегазодобычи (совместно с Инжиниринговым центром "Центр компьютерного инжиниринга" (СПб), ИХТЦ (Томск), "Губкин инжиниринг" (Москва) и др.).</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Вышеуказанные решения (КНТП/КПНИ) должны быть реализованы в рамках мероприятий, направленных на развитие научно-инновационной сферы региона.</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Следующим направлением развития нефтегазовой отрасли Сахалинской области является реализация инвестиционных проектов:</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1) Строительство завода по производству жидких видов топлива, что необходимо для обеспечения потребностей авиационного, морского, железнодорожного и автомобильного транспорта в рамках развития транспортно-логистического потенциала региона. Перспективный спрос на нефтепродукты оценивается в 1894 тыс. т. Проект будет реализован в 2 этапа: подготовка технико-экономического обоснования проекта, строительство и ввод в эксплуатацию.</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2) Портфель инвестиционных проектов стратегического направления "Нефтегазодобыча":</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освоение Южно-Киринского газоконденсатного месторождения.</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Инициатор и основной исполнитель проекта - ПАО "Газпром". Ввод в эксплуатацию Южно-Киринского газоконденсатного месторождения планируется в 2023 г.</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В рамках проекта регион оказывает содействие в развитии социальной и инженерной инфраструктуры в районе реализации проекта;</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разработка газовой составляющей месторождения "Чайво" для обеспечения дальневосточного завода СПГ.</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Консорциумом проекта "Сахалин-1" было принято решение о реализации проекта по строительству завода "Дальневосточный СПГ" в Де-Кастри мощностью 6,2 млн. тонн с поставкой СПГ в страны АТР. При реализации компания задействует свои добычные активы в Сахалинской области, существующие (платформа "Орлан", береговой комплекс подготовки Чайво) и строящиеся инфраструктурные мощности;</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строительство 3-й технологической линии завода СПГ в рамках проекта "Сахалин-2".</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В настоящее время проект временно приостановлен, продолжается оценка возможных вариантов поставки сырьевого газа.</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xml:space="preserve">Целевые показатели портфеля инвестиционных проектов "Нефтегазодобыча" приведены в таблице </w:t>
      </w:r>
      <w:r>
        <w:rPr>
          <w:rFonts w:eastAsia="" w:cs="Calibri" w:eastAsiaTheme="minorEastAsia"/>
          <w:lang w:eastAsia="ru-RU"/>
        </w:rPr>
        <w:t>1</w:t>
      </w:r>
      <w:r>
        <w:rPr>
          <w:rFonts w:eastAsia="" w:cs="Calibri" w:eastAsiaTheme="minorEastAsia"/>
          <w:lang w:eastAsia="ru-RU"/>
        </w:rPr>
        <w:t>.</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b/>
          <w:lang w:eastAsia="ru-RU"/>
        </w:rPr>
        <w:t xml:space="preserve">Таблица </w:t>
      </w:r>
      <w:r>
        <w:rPr>
          <w:rFonts w:eastAsia="" w:cs="Calibri" w:eastAsiaTheme="minorEastAsia"/>
          <w:b/>
          <w:lang w:eastAsia="ru-RU"/>
        </w:rPr>
        <w:t>1</w:t>
      </w:r>
      <w:r>
        <w:rPr>
          <w:rFonts w:eastAsia="" w:cs="Calibri" w:eastAsiaTheme="minorEastAsia"/>
          <w:b/>
          <w:lang w:eastAsia="ru-RU"/>
        </w:rPr>
        <w:t>. ЦЕЛЕВЫЕ ПОКАЗАТЕЛИ ПОРТФЕЛЯ ИНВЕСТИЦИОННЫХ ПРОЕКТОВ</w:t>
      </w:r>
    </w:p>
    <w:p>
      <w:pPr>
        <w:pStyle w:val="Normal"/>
        <w:widowControl w:val="false"/>
        <w:spacing w:lineRule="auto" w:line="240" w:before="0" w:after="0"/>
        <w:ind w:firstLine="540"/>
        <w:jc w:val="both"/>
        <w:rPr>
          <w:rFonts w:ascii="Calibri" w:hAnsi="Calibri" w:eastAsia="" w:cs="Calibri" w:eastAsiaTheme="minorEastAsia"/>
          <w:lang w:eastAsia="ru-RU"/>
        </w:rPr>
      </w:pPr>
      <w:r>
        <w:rPr>
          <w:rFonts w:eastAsia="" w:cs="Calibri" w:eastAsiaTheme="minorEastAsia"/>
          <w:lang w:eastAsia="ru-RU"/>
        </w:rPr>
      </w:r>
    </w:p>
    <w:tbl>
      <w:tblPr>
        <w:tblW w:w="9045"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2664"/>
        <w:gridCol w:w="3190"/>
        <w:gridCol w:w="3191"/>
      </w:tblGrid>
      <w:tr>
        <w:trPr/>
        <w:tc>
          <w:tcPr>
            <w:tcW w:w="266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Calibri" w:hAnsi="Calibri" w:eastAsia="" w:cs="Calibri" w:eastAsiaTheme="minorEastAsia"/>
                <w:lang w:eastAsia="ru-RU"/>
              </w:rPr>
            </w:pPr>
            <w:r>
              <w:rPr>
                <w:rFonts w:eastAsia="" w:cs="Calibri" w:eastAsiaTheme="minorEastAsia"/>
                <w:lang w:eastAsia="ru-RU"/>
              </w:rPr>
              <w:t>Показатель</w:t>
            </w:r>
          </w:p>
        </w:tc>
        <w:tc>
          <w:tcPr>
            <w:tcW w:w="6381"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Calibri" w:hAnsi="Calibri" w:eastAsia="" w:cs="Calibri" w:eastAsiaTheme="minorEastAsia"/>
                <w:lang w:eastAsia="ru-RU"/>
              </w:rPr>
            </w:pPr>
            <w:r>
              <w:rPr>
                <w:rFonts w:eastAsia="" w:cs="Calibri" w:eastAsiaTheme="minorEastAsia"/>
                <w:lang w:eastAsia="ru-RU"/>
              </w:rPr>
              <w:t>Целевое значение</w:t>
            </w:r>
          </w:p>
        </w:tc>
      </w:tr>
      <w:tr>
        <w:trPr/>
        <w:tc>
          <w:tcPr>
            <w:tcW w:w="266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Calibri" w:hAnsi="Calibri" w:eastAsia="" w:cs="Calibri" w:eastAsiaTheme="minorEastAsia"/>
                <w:lang w:eastAsia="ru-RU"/>
              </w:rPr>
            </w:pPr>
            <w:r>
              <w:rPr>
                <w:rFonts w:eastAsia="" w:cs="Calibri" w:eastAsiaTheme="minorEastAsia"/>
                <w:lang w:eastAsia="ru-RU"/>
              </w:rPr>
            </w:r>
          </w:p>
        </w:tc>
        <w:tc>
          <w:tcPr>
            <w:tcW w:w="31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Calibri" w:hAnsi="Calibri" w:eastAsia="" w:cs="Calibri" w:eastAsiaTheme="minorEastAsia"/>
                <w:lang w:eastAsia="ru-RU"/>
              </w:rPr>
            </w:pPr>
            <w:r>
              <w:rPr>
                <w:rFonts w:eastAsia="" w:cs="Calibri" w:eastAsiaTheme="minorEastAsia"/>
                <w:lang w:eastAsia="ru-RU"/>
              </w:rPr>
              <w:t>2024</w:t>
            </w:r>
          </w:p>
        </w:tc>
        <w:tc>
          <w:tcPr>
            <w:tcW w:w="31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Calibri" w:hAnsi="Calibri" w:eastAsia="" w:cs="Calibri" w:eastAsiaTheme="minorEastAsia"/>
                <w:lang w:eastAsia="ru-RU"/>
              </w:rPr>
            </w:pPr>
            <w:r>
              <w:rPr>
                <w:rFonts w:eastAsia="" w:cs="Calibri" w:eastAsiaTheme="minorEastAsia"/>
                <w:lang w:eastAsia="ru-RU"/>
              </w:rPr>
              <w:t>2029</w:t>
            </w:r>
          </w:p>
        </w:tc>
      </w:tr>
      <w:tr>
        <w:trPr/>
        <w:tc>
          <w:tcPr>
            <w:tcW w:w="26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Calibri" w:hAnsi="Calibri" w:eastAsia="" w:cs="Calibri" w:eastAsiaTheme="minorEastAsia"/>
                <w:lang w:eastAsia="ru-RU"/>
              </w:rPr>
            </w:pPr>
            <w:r>
              <w:rPr>
                <w:rFonts w:eastAsia="" w:cs="Calibri" w:eastAsiaTheme="minorEastAsia"/>
                <w:lang w:eastAsia="ru-RU"/>
              </w:rPr>
              <w:t>Добыча нефти и конденсата</w:t>
            </w:r>
          </w:p>
        </w:tc>
        <w:tc>
          <w:tcPr>
            <w:tcW w:w="31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Calibri" w:hAnsi="Calibri" w:eastAsia="" w:cs="Calibri" w:eastAsiaTheme="minorEastAsia"/>
                <w:lang w:eastAsia="ru-RU"/>
              </w:rPr>
            </w:pPr>
            <w:r>
              <w:rPr>
                <w:rFonts w:eastAsia="" w:cs="Calibri" w:eastAsiaTheme="minorEastAsia"/>
                <w:lang w:eastAsia="ru-RU"/>
              </w:rPr>
              <w:t>Нефть - 15 млн. т;</w:t>
            </w:r>
          </w:p>
          <w:p>
            <w:pPr>
              <w:pStyle w:val="Normal"/>
              <w:widowControl w:val="false"/>
              <w:spacing w:lineRule="auto" w:line="240" w:before="0" w:after="0"/>
              <w:jc w:val="center"/>
              <w:rPr>
                <w:rFonts w:ascii="Calibri" w:hAnsi="Calibri" w:eastAsia="" w:cs="Calibri" w:eastAsiaTheme="minorEastAsia"/>
                <w:lang w:eastAsia="ru-RU"/>
              </w:rPr>
            </w:pPr>
            <w:r>
              <w:rPr>
                <w:rFonts w:eastAsia="" w:cs="Calibri" w:eastAsiaTheme="minorEastAsia"/>
                <w:lang w:eastAsia="ru-RU"/>
              </w:rPr>
              <w:t>Газ - 37 млрд. м</w:t>
            </w:r>
            <w:r>
              <w:rPr>
                <w:rFonts w:eastAsia="" w:cs="Calibri" w:eastAsiaTheme="minorEastAsia"/>
                <w:vertAlign w:val="superscript"/>
                <w:lang w:eastAsia="ru-RU"/>
              </w:rPr>
              <w:t>3</w:t>
            </w:r>
          </w:p>
        </w:tc>
        <w:tc>
          <w:tcPr>
            <w:tcW w:w="31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Calibri" w:hAnsi="Calibri" w:eastAsia="" w:cs="Calibri" w:eastAsiaTheme="minorEastAsia"/>
                <w:lang w:eastAsia="ru-RU"/>
              </w:rPr>
            </w:pPr>
            <w:r>
              <w:rPr>
                <w:rFonts w:eastAsia="" w:cs="Calibri" w:eastAsiaTheme="minorEastAsia"/>
                <w:lang w:eastAsia="ru-RU"/>
              </w:rPr>
              <w:t>Нефть - 30 млн. т;</w:t>
            </w:r>
          </w:p>
          <w:p>
            <w:pPr>
              <w:pStyle w:val="Normal"/>
              <w:widowControl w:val="false"/>
              <w:spacing w:lineRule="auto" w:line="240" w:before="0" w:after="0"/>
              <w:jc w:val="center"/>
              <w:rPr>
                <w:rFonts w:ascii="Calibri" w:hAnsi="Calibri" w:eastAsia="" w:cs="Calibri" w:eastAsiaTheme="minorEastAsia"/>
                <w:lang w:eastAsia="ru-RU"/>
              </w:rPr>
            </w:pPr>
            <w:r>
              <w:rPr>
                <w:rFonts w:eastAsia="" w:cs="Calibri" w:eastAsiaTheme="minorEastAsia"/>
                <w:lang w:eastAsia="ru-RU"/>
              </w:rPr>
              <w:t>Газ - 60 млрд. м</w:t>
            </w:r>
            <w:r>
              <w:rPr>
                <w:rFonts w:eastAsia="" w:cs="Calibri" w:eastAsiaTheme="minorEastAsia"/>
                <w:vertAlign w:val="superscript"/>
                <w:lang w:eastAsia="ru-RU"/>
              </w:rPr>
              <w:t>3</w:t>
            </w:r>
          </w:p>
        </w:tc>
      </w:tr>
      <w:tr>
        <w:trPr/>
        <w:tc>
          <w:tcPr>
            <w:tcW w:w="26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Calibri" w:hAnsi="Calibri" w:eastAsia="" w:cs="Calibri" w:eastAsiaTheme="minorEastAsia"/>
                <w:lang w:eastAsia="ru-RU"/>
              </w:rPr>
            </w:pPr>
            <w:r>
              <w:rPr>
                <w:rFonts w:eastAsia="" w:cs="Calibri" w:eastAsiaTheme="minorEastAsia"/>
                <w:lang w:eastAsia="ru-RU"/>
              </w:rPr>
              <w:t>Производство СПГ</w:t>
            </w:r>
          </w:p>
        </w:tc>
        <w:tc>
          <w:tcPr>
            <w:tcW w:w="31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Calibri" w:hAnsi="Calibri" w:eastAsia="" w:cs="Calibri" w:eastAsiaTheme="minorEastAsia"/>
                <w:lang w:eastAsia="ru-RU"/>
              </w:rPr>
            </w:pPr>
            <w:r>
              <w:rPr>
                <w:rFonts w:eastAsia="" w:cs="Calibri" w:eastAsiaTheme="minorEastAsia"/>
                <w:lang w:eastAsia="ru-RU"/>
              </w:rPr>
              <w:t>10,7 млн. т</w:t>
            </w:r>
          </w:p>
        </w:tc>
        <w:tc>
          <w:tcPr>
            <w:tcW w:w="31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Calibri" w:hAnsi="Calibri" w:eastAsia="" w:cs="Calibri" w:eastAsiaTheme="minorEastAsia"/>
                <w:lang w:eastAsia="ru-RU"/>
              </w:rPr>
            </w:pPr>
            <w:r>
              <w:rPr>
                <w:rFonts w:eastAsia="" w:cs="Calibri" w:eastAsiaTheme="minorEastAsia"/>
                <w:lang w:eastAsia="ru-RU"/>
              </w:rPr>
              <w:t>17 млн. т &lt;*&gt;</w:t>
            </w:r>
          </w:p>
        </w:tc>
      </w:tr>
      <w:tr>
        <w:trPr/>
        <w:tc>
          <w:tcPr>
            <w:tcW w:w="26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Calibri" w:hAnsi="Calibri" w:eastAsia="" w:cs="Calibri" w:eastAsiaTheme="minorEastAsia"/>
                <w:lang w:eastAsia="ru-RU"/>
              </w:rPr>
            </w:pPr>
            <w:r>
              <w:rPr>
                <w:rFonts w:eastAsia="" w:cs="Calibri" w:eastAsiaTheme="minorEastAsia"/>
                <w:lang w:eastAsia="ru-RU"/>
              </w:rPr>
              <w:t>Общий объем выручки</w:t>
            </w:r>
          </w:p>
        </w:tc>
        <w:tc>
          <w:tcPr>
            <w:tcW w:w="31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Calibri" w:hAnsi="Calibri" w:eastAsia="" w:cs="Calibri" w:eastAsiaTheme="minorEastAsia"/>
                <w:lang w:eastAsia="ru-RU"/>
              </w:rPr>
            </w:pPr>
            <w:r>
              <w:rPr>
                <w:rFonts w:eastAsia="" w:cs="Calibri" w:eastAsiaTheme="minorEastAsia"/>
                <w:lang w:eastAsia="ru-RU"/>
              </w:rPr>
              <w:t>14 млрд. долл. США (952 млрд. руб.)</w:t>
            </w:r>
          </w:p>
        </w:tc>
        <w:tc>
          <w:tcPr>
            <w:tcW w:w="31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Calibri" w:hAnsi="Calibri" w:eastAsia="" w:cs="Calibri" w:eastAsiaTheme="minorEastAsia"/>
                <w:lang w:eastAsia="ru-RU"/>
              </w:rPr>
            </w:pPr>
            <w:r>
              <w:rPr>
                <w:rFonts w:eastAsia="" w:cs="Calibri" w:eastAsiaTheme="minorEastAsia"/>
                <w:lang w:eastAsia="ru-RU"/>
              </w:rPr>
              <w:t>19 млрд. долл. США (1,4 трлн. руб.)</w:t>
            </w:r>
          </w:p>
        </w:tc>
      </w:tr>
      <w:tr>
        <w:trPr/>
        <w:tc>
          <w:tcPr>
            <w:tcW w:w="26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Calibri" w:hAnsi="Calibri" w:eastAsia="" w:cs="Calibri" w:eastAsiaTheme="minorEastAsia"/>
                <w:lang w:eastAsia="ru-RU"/>
              </w:rPr>
            </w:pPr>
            <w:r>
              <w:rPr>
                <w:rFonts w:eastAsia="" w:cs="Calibri" w:eastAsiaTheme="minorEastAsia"/>
                <w:lang w:eastAsia="ru-RU"/>
              </w:rPr>
              <w:t>Объем инвестиций</w:t>
            </w:r>
          </w:p>
        </w:tc>
        <w:tc>
          <w:tcPr>
            <w:tcW w:w="31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Calibri" w:hAnsi="Calibri" w:eastAsia="" w:cs="Calibri" w:eastAsiaTheme="minorEastAsia"/>
                <w:lang w:eastAsia="ru-RU"/>
              </w:rPr>
            </w:pPr>
            <w:r>
              <w:rPr>
                <w:rFonts w:eastAsia="" w:cs="Calibri" w:eastAsiaTheme="minorEastAsia"/>
                <w:lang w:eastAsia="ru-RU"/>
              </w:rPr>
              <w:t>25 млрд. долл. США (1,7 трлн. руб.)</w:t>
            </w:r>
          </w:p>
        </w:tc>
        <w:tc>
          <w:tcPr>
            <w:tcW w:w="31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Calibri" w:hAnsi="Calibri" w:eastAsia="" w:cs="Calibri" w:eastAsiaTheme="minorEastAsia"/>
                <w:lang w:eastAsia="ru-RU"/>
              </w:rPr>
            </w:pPr>
            <w:r>
              <w:rPr>
                <w:rFonts w:eastAsia="" w:cs="Calibri" w:eastAsiaTheme="minorEastAsia"/>
                <w:lang w:eastAsia="ru-RU"/>
              </w:rPr>
              <w:t>46 млрд. долл. США (3,3 трлн. руб.)</w:t>
            </w:r>
          </w:p>
        </w:tc>
      </w:tr>
      <w:tr>
        <w:trPr/>
        <w:tc>
          <w:tcPr>
            <w:tcW w:w="266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Calibri" w:hAnsi="Calibri" w:eastAsia="" w:cs="Calibri" w:eastAsiaTheme="minorEastAsia"/>
                <w:lang w:eastAsia="ru-RU"/>
              </w:rPr>
            </w:pPr>
            <w:r>
              <w:rPr>
                <w:rFonts w:eastAsia="" w:cs="Calibri" w:eastAsiaTheme="minorEastAsia"/>
                <w:lang w:eastAsia="ru-RU"/>
              </w:rPr>
              <w:t>Вклад в ВРП</w:t>
            </w:r>
          </w:p>
        </w:tc>
        <w:tc>
          <w:tcPr>
            <w:tcW w:w="3190"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Calibri" w:hAnsi="Calibri" w:eastAsia="" w:cs="Calibri" w:eastAsiaTheme="minorEastAsia"/>
                <w:lang w:eastAsia="ru-RU"/>
              </w:rPr>
            </w:pPr>
            <w:r>
              <w:rPr>
                <w:rFonts w:eastAsia="" w:cs="Calibri" w:eastAsiaTheme="minorEastAsia"/>
                <w:lang w:eastAsia="ru-RU"/>
              </w:rPr>
              <w:t>644,5 млрд. руб.</w:t>
            </w:r>
          </w:p>
        </w:tc>
        <w:tc>
          <w:tcPr>
            <w:tcW w:w="3191"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Calibri" w:hAnsi="Calibri" w:eastAsia="" w:cs="Calibri" w:eastAsiaTheme="minorEastAsia"/>
                <w:lang w:eastAsia="ru-RU"/>
              </w:rPr>
            </w:pPr>
            <w:r>
              <w:rPr>
                <w:rFonts w:eastAsia="" w:cs="Calibri" w:eastAsiaTheme="minorEastAsia"/>
                <w:lang w:eastAsia="ru-RU"/>
              </w:rPr>
              <w:t>947,8 млрд. руб.</w:t>
            </w:r>
          </w:p>
        </w:tc>
      </w:tr>
    </w:tbl>
    <w:p>
      <w:pPr>
        <w:pStyle w:val="Normal"/>
        <w:widowControl w:val="false"/>
        <w:spacing w:lineRule="auto" w:line="240" w:before="0" w:after="0"/>
        <w:ind w:firstLine="540"/>
        <w:jc w:val="both"/>
        <w:rPr>
          <w:rFonts w:ascii="Calibri" w:hAnsi="Calibri" w:eastAsia="" w:cs="Calibri" w:eastAsiaTheme="minorEastAsia"/>
          <w:lang w:eastAsia="ru-RU"/>
        </w:rPr>
      </w:pPr>
      <w:r>
        <w:rPr>
          <w:rFonts w:eastAsia="" w:cs="Calibri" w:eastAsiaTheme="minorEastAsia"/>
          <w:lang w:eastAsia="ru-RU"/>
        </w:rPr>
      </w:r>
    </w:p>
    <w:p>
      <w:pPr>
        <w:pStyle w:val="Normal"/>
        <w:widowControl w:val="false"/>
        <w:spacing w:lineRule="auto" w:line="240" w:before="0" w:after="0"/>
        <w:ind w:firstLine="540"/>
        <w:jc w:val="both"/>
        <w:rPr>
          <w:rFonts w:ascii="Calibri" w:hAnsi="Calibri" w:eastAsia="" w:cs="Calibri" w:eastAsiaTheme="minorEastAsia"/>
          <w:lang w:eastAsia="ru-RU"/>
        </w:rPr>
      </w:pPr>
      <w:r>
        <w:rPr>
          <w:rFonts w:eastAsia="" w:cs="Calibri" w:eastAsiaTheme="minorEastAsia"/>
          <w:lang w:eastAsia="ru-RU"/>
        </w:rPr>
        <w:t>--------------------------------</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&lt;*&gt; - с учетом мощности Дальневосточного СПГ (6,2 млн. тонн в год).</w:t>
      </w:r>
    </w:p>
    <w:p>
      <w:pPr>
        <w:pStyle w:val="Normal"/>
        <w:widowControl w:val="false"/>
        <w:spacing w:lineRule="auto" w:line="240" w:before="0" w:after="0"/>
        <w:ind w:firstLine="540"/>
        <w:jc w:val="both"/>
        <w:rPr>
          <w:rFonts w:ascii="Calibri" w:hAnsi="Calibri" w:eastAsia="" w:cs="Calibri" w:eastAsiaTheme="minorEastAsia"/>
          <w:lang w:eastAsia="ru-RU"/>
        </w:rPr>
      </w:pPr>
      <w:r>
        <w:rPr>
          <w:rFonts w:eastAsia="" w:cs="Calibri" w:eastAsiaTheme="minorEastAsia"/>
          <w:lang w:eastAsia="ru-RU"/>
        </w:rPr>
      </w:r>
    </w:p>
    <w:p>
      <w:pPr>
        <w:pStyle w:val="Normal"/>
        <w:widowControl w:val="false"/>
        <w:spacing w:lineRule="auto" w:line="240" w:before="0" w:after="0"/>
        <w:ind w:firstLine="540"/>
        <w:jc w:val="both"/>
        <w:rPr>
          <w:rFonts w:ascii="Calibri" w:hAnsi="Calibri" w:eastAsia="" w:cs="Calibri" w:eastAsiaTheme="minorEastAsia"/>
          <w:lang w:eastAsia="ru-RU"/>
        </w:rPr>
      </w:pPr>
      <w:r>
        <w:rPr>
          <w:rFonts w:eastAsia="" w:cs="Calibri" w:eastAsiaTheme="minorEastAsia"/>
          <w:lang w:eastAsia="ru-RU"/>
        </w:rPr>
        <w:t>Реализация мер по развитию отрасли и инвестиционных проектов в целом планируется в три этапа:</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2019 - 2024 гг.: формирование инновационной инфраструктуры, запуск пилотных инициатив и инвестиционных проектов первой очереди, согласование предлагаемых нормативно-правовых изменений в части внедрения механизма гибкого лицензирования, подготовка пакета инвестиционных проектов второй очереди;</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2024 - 2030 гг.: масштабирование пилотных инициатив и проектов, запуск инвестиционных проектов второй очереди, внедрение нормативно-правовых изменений, подготовка пакета проектов и инициатив третьей очереди;</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2030 - 2035 гг.: выход проектов второй очереди на проектную мощность, реализация проектов и инициатив третьей очереди.</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Финансовое обеспечение развития нефтегазового комплекса планируется за счет совместных государственных и частных инвестиций.</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Подробный перечень мер по развитию отрасли, ответственные исполнители, сроки и финансовое обеспечение приведены в Плане мероприятий по реализации Стратегии социально-экономического развития Сахалинской области на период до 2035 г.</w:t>
      </w:r>
    </w:p>
    <w:p>
      <w:pPr>
        <w:pStyle w:val="Normal"/>
        <w:widowControl w:val="false"/>
        <w:spacing w:lineRule="auto" w:line="240" w:before="220" w:after="0"/>
        <w:ind w:firstLine="540"/>
        <w:jc w:val="both"/>
        <w:rPr>
          <w:rFonts w:ascii="Calibri" w:hAnsi="Calibri" w:eastAsia="" w:cs="Calibri" w:eastAsiaTheme="minorEastAsia"/>
          <w:lang w:eastAsia="ru-RU"/>
        </w:rPr>
      </w:pPr>
      <w:r>
        <w:rPr>
          <w:b/>
        </w:rPr>
        <w:t xml:space="preserve">3.2. </w:t>
      </w:r>
      <w:r>
        <w:rPr>
          <w:b/>
        </w:rPr>
        <w:t>Угольная отрасль.</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b/>
          <w:lang w:eastAsia="ru-RU"/>
        </w:rPr>
        <w:t>Меры по развитию отрасли и основные инвестиционные проекты, в т.ч. сроки, этапы и финансовое обеспечение развития</w:t>
      </w:r>
    </w:p>
    <w:p>
      <w:pPr>
        <w:pStyle w:val="Normal"/>
        <w:widowControl w:val="false"/>
        <w:spacing w:lineRule="auto" w:line="240" w:before="0" w:after="0"/>
        <w:jc w:val="center"/>
        <w:rPr>
          <w:rFonts w:ascii="Calibri" w:hAnsi="Calibri" w:eastAsia="" w:cs="Calibri" w:eastAsiaTheme="minorEastAsia"/>
          <w:lang w:eastAsia="ru-RU"/>
        </w:rPr>
      </w:pPr>
      <w:r>
        <w:rPr>
          <w:rFonts w:eastAsia="" w:cs="Calibri" w:eastAsiaTheme="minorEastAsia"/>
          <w:lang w:eastAsia="ru-RU"/>
        </w:rPr>
      </w:r>
    </w:p>
    <w:p>
      <w:pPr>
        <w:pStyle w:val="Normal"/>
        <w:widowControl w:val="false"/>
        <w:spacing w:lineRule="auto" w:line="240" w:before="0" w:after="0"/>
        <w:ind w:firstLine="540"/>
        <w:jc w:val="both"/>
        <w:rPr>
          <w:rFonts w:ascii="Calibri" w:hAnsi="Calibri" w:eastAsia="" w:cs="Calibri" w:eastAsiaTheme="minorEastAsia"/>
          <w:lang w:eastAsia="ru-RU"/>
        </w:rPr>
      </w:pPr>
      <w:r>
        <w:rPr>
          <w:rFonts w:eastAsia="" w:cs="Calibri" w:eastAsiaTheme="minorEastAsia"/>
          <w:lang w:eastAsia="ru-RU"/>
        </w:rPr>
        <w:t>В угольной отрасли для создания условий для повышения доходности и роста производительности труда и одновременного снижения экологической нагрузки будет проводиться работа по следующим направлениям:</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1) совершенствование процедур распределения лицензий на разведку и эксплуатацию месторождений:</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сокращение сроков предоставления лицензий на 6 - 12 мес. Планируемый эффект от внедрения данной инициативы включает интенсификацию разведки запасов угля и активное восполнение сокращающейся ресурсной базы;</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предоставление преимущественного права пользования новым участком в границах одного месторождения имеющимся (в границах месторождения) недропользователям. Планируемый эффект - продление сроков эксплуатации существующих месторождений с налаженной логистикой и инфраструктурой на 2 - 3 года (при существующих темпах добычи) и сохранение темпов экономической деятельности действующих предприятий (включая трудовые ресурсы);</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2) оптимизация нормативной базы и процедур, относящихся к порядку и срокам получения разрешений на использование земельного участка - сокращение длительности процедур до 6 мес. Планируемый эффект - интенсификация разведки запасов угля; ускорение освоения новых месторождений и участков при существующей благоприятной конъюнктуре; сохранение (или увеличение) налоговых поступлений;</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3) детальная (до)разведка запасов угля в западной части острова Сахалин, где в настоящее время сосредоточен основной экспортный потенциал угольной добычи, сложившаяся инфраструктура и порты. Планируемый эффект от реализации данного мероприятия - продление "активного" периода жизни сложившихся районов угледобычи на 2 - 5 лет (по оценкам экспертов);</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4) Вовлечение в хозяйственный оборот новых угольных месторождений, пилотный проект - Лахская угленосная площадь.</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Прогнозные запасы месторождения составляют около 1 млрд. т, разведанные запасы - 240 млн. т (Р1+Р2). Уголь - бурый 2-3Б, зольность - 5 - 12%. Месторождение удалено от основных транспортных и энергетических коммуникаций.</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Для реализации проекта потребуется разработка транспортной и энергетической схемы, строительство инфраструктуры для добычи и доставки угля в порты отгрузки, либо потребителям на Сахалине (через автодорогу до ст. Ныш и по ж/д до Углегорска) в т.ч.:</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автодорога Лахская площадь - ст. Ныш (50 - 70 км, в том числе по трассе заброшенной дороги 1950-х гг.);</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сооружение энергомоста ВЛ 35 кВт, ИПС 10 - 20 МВт до месторождения;</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сооружение планируемой железнодорожной линии Ильинск - Углегорск.</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xml:space="preserve">Реализация основных направлений планируется в форме инвестиционного проекта "Освоение и развитие Лахского угольного месторождения", нацеленного на освоение новых крупных ресурсов энергетических углей. Целевые показатели проекта приведены в таблице </w:t>
      </w:r>
      <w:r>
        <w:rPr>
          <w:rFonts w:eastAsia="" w:cs="Calibri" w:eastAsiaTheme="minorEastAsia"/>
          <w:lang w:eastAsia="ru-RU"/>
        </w:rPr>
        <w:t>2</w:t>
      </w:r>
      <w:r>
        <w:rPr>
          <w:rFonts w:eastAsia="" w:cs="Calibri" w:eastAsiaTheme="minorEastAsia"/>
          <w:lang w:eastAsia="ru-RU"/>
        </w:rPr>
        <w:t>.</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b/>
          <w:lang w:eastAsia="ru-RU"/>
        </w:rPr>
        <w:t xml:space="preserve">Таблица </w:t>
      </w:r>
      <w:r>
        <w:rPr>
          <w:rFonts w:eastAsia="" w:cs="Calibri" w:eastAsiaTheme="minorEastAsia"/>
          <w:b/>
          <w:lang w:eastAsia="ru-RU"/>
        </w:rPr>
        <w:t>2</w:t>
      </w:r>
      <w:r>
        <w:rPr>
          <w:rFonts w:eastAsia="" w:cs="Calibri" w:eastAsiaTheme="minorEastAsia"/>
          <w:b/>
          <w:lang w:eastAsia="ru-RU"/>
        </w:rPr>
        <w:t>. ЦЕЛЕВЫЕ ПОКАЗАТЕЛИ ПРОЕКТА</w:t>
      </w:r>
    </w:p>
    <w:p>
      <w:pPr>
        <w:pStyle w:val="Normal"/>
        <w:widowControl w:val="false"/>
        <w:spacing w:lineRule="auto" w:line="240" w:before="0" w:after="0"/>
        <w:ind w:firstLine="540"/>
        <w:jc w:val="both"/>
        <w:rPr>
          <w:rFonts w:ascii="Calibri" w:hAnsi="Calibri" w:eastAsia="" w:cs="Calibri" w:eastAsiaTheme="minorEastAsia"/>
          <w:lang w:eastAsia="ru-RU"/>
        </w:rPr>
      </w:pPr>
      <w:r>
        <w:rPr>
          <w:rFonts w:eastAsia="" w:cs="Calibri" w:eastAsiaTheme="minorEastAsia"/>
          <w:lang w:eastAsia="ru-RU"/>
        </w:rPr>
      </w:r>
    </w:p>
    <w:tbl>
      <w:tblPr>
        <w:tblW w:w="9071"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6236"/>
        <w:gridCol w:w="2834"/>
      </w:tblGrid>
      <w:tr>
        <w:trPr/>
        <w:tc>
          <w:tcPr>
            <w:tcW w:w="623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Calibri" w:hAnsi="Calibri" w:eastAsia="" w:cs="Calibri" w:eastAsiaTheme="minorEastAsia"/>
                <w:lang w:eastAsia="ru-RU"/>
              </w:rPr>
            </w:pPr>
            <w:r>
              <w:rPr>
                <w:rFonts w:eastAsia="" w:cs="Calibri" w:eastAsiaTheme="minorEastAsia"/>
                <w:lang w:eastAsia="ru-RU"/>
              </w:rPr>
              <w:t>Показатель</w:t>
            </w:r>
          </w:p>
        </w:tc>
        <w:tc>
          <w:tcPr>
            <w:tcW w:w="28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Calibri" w:hAnsi="Calibri" w:eastAsia="" w:cs="Calibri" w:eastAsiaTheme="minorEastAsia"/>
                <w:lang w:eastAsia="ru-RU"/>
              </w:rPr>
            </w:pPr>
            <w:r>
              <w:rPr>
                <w:rFonts w:eastAsia="" w:cs="Calibri" w:eastAsiaTheme="minorEastAsia"/>
                <w:lang w:eastAsia="ru-RU"/>
              </w:rPr>
              <w:t>Целевое значение</w:t>
            </w:r>
          </w:p>
        </w:tc>
      </w:tr>
      <w:tr>
        <w:trPr/>
        <w:tc>
          <w:tcPr>
            <w:tcW w:w="623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Calibri" w:hAnsi="Calibri" w:eastAsia="" w:cs="Calibri" w:eastAsiaTheme="minorEastAsia"/>
                <w:lang w:eastAsia="ru-RU"/>
              </w:rPr>
            </w:pPr>
            <w:r>
              <w:rPr>
                <w:rFonts w:eastAsia="" w:cs="Calibri" w:eastAsiaTheme="minorEastAsia"/>
                <w:lang w:eastAsia="ru-RU"/>
              </w:rPr>
              <w:t>Объем инвестиций</w:t>
            </w:r>
          </w:p>
        </w:tc>
        <w:tc>
          <w:tcPr>
            <w:tcW w:w="28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Calibri" w:hAnsi="Calibri" w:eastAsia="" w:cs="Calibri" w:eastAsiaTheme="minorEastAsia"/>
                <w:lang w:eastAsia="ru-RU"/>
              </w:rPr>
            </w:pPr>
            <w:r>
              <w:rPr>
                <w:rFonts w:eastAsia="" w:cs="Calibri" w:eastAsiaTheme="minorEastAsia"/>
                <w:lang w:eastAsia="ru-RU"/>
              </w:rPr>
              <w:t>10 млрд. руб.</w:t>
            </w:r>
          </w:p>
        </w:tc>
      </w:tr>
      <w:tr>
        <w:trPr/>
        <w:tc>
          <w:tcPr>
            <w:tcW w:w="623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Calibri" w:hAnsi="Calibri" w:eastAsia="" w:cs="Calibri" w:eastAsiaTheme="minorEastAsia"/>
                <w:lang w:eastAsia="ru-RU"/>
              </w:rPr>
            </w:pPr>
            <w:r>
              <w:rPr>
                <w:rFonts w:eastAsia="" w:cs="Calibri" w:eastAsiaTheme="minorEastAsia"/>
                <w:lang w:eastAsia="ru-RU"/>
              </w:rPr>
              <w:t>Объем выручки в год</w:t>
            </w:r>
          </w:p>
        </w:tc>
        <w:tc>
          <w:tcPr>
            <w:tcW w:w="28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Calibri" w:hAnsi="Calibri" w:eastAsia="" w:cs="Calibri" w:eastAsiaTheme="minorEastAsia"/>
                <w:lang w:eastAsia="ru-RU"/>
              </w:rPr>
            </w:pPr>
            <w:r>
              <w:rPr>
                <w:rFonts w:eastAsia="" w:cs="Calibri" w:eastAsiaTheme="minorEastAsia"/>
                <w:lang w:eastAsia="ru-RU"/>
              </w:rPr>
              <w:t>3,5 млрд. руб.</w:t>
            </w:r>
          </w:p>
        </w:tc>
      </w:tr>
      <w:tr>
        <w:trPr/>
        <w:tc>
          <w:tcPr>
            <w:tcW w:w="623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Calibri" w:hAnsi="Calibri" w:eastAsia="" w:cs="Calibri" w:eastAsiaTheme="minorEastAsia"/>
                <w:lang w:eastAsia="ru-RU"/>
              </w:rPr>
            </w:pPr>
            <w:r>
              <w:rPr>
                <w:rFonts w:eastAsia="" w:cs="Calibri" w:eastAsiaTheme="minorEastAsia"/>
                <w:lang w:eastAsia="ru-RU"/>
              </w:rPr>
              <w:t>Количество созданных рабочих мест</w:t>
            </w:r>
          </w:p>
        </w:tc>
        <w:tc>
          <w:tcPr>
            <w:tcW w:w="28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Calibri" w:hAnsi="Calibri" w:eastAsia="" w:cs="Calibri" w:eastAsiaTheme="minorEastAsia"/>
                <w:lang w:eastAsia="ru-RU"/>
              </w:rPr>
            </w:pPr>
            <w:r>
              <w:rPr>
                <w:rFonts w:eastAsia="" w:cs="Calibri" w:eastAsiaTheme="minorEastAsia"/>
                <w:lang w:eastAsia="ru-RU"/>
              </w:rPr>
              <w:t>1500</w:t>
            </w:r>
          </w:p>
        </w:tc>
      </w:tr>
      <w:tr>
        <w:trPr/>
        <w:tc>
          <w:tcPr>
            <w:tcW w:w="6236"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Calibri" w:hAnsi="Calibri" w:eastAsia="" w:cs="Calibri" w:eastAsiaTheme="minorEastAsia"/>
                <w:lang w:eastAsia="ru-RU"/>
              </w:rPr>
            </w:pPr>
            <w:r>
              <w:rPr>
                <w:rFonts w:eastAsia="" w:cs="Calibri" w:eastAsiaTheme="minorEastAsia"/>
                <w:lang w:eastAsia="ru-RU"/>
              </w:rPr>
              <w:t>Годы реализации</w:t>
            </w:r>
          </w:p>
        </w:tc>
        <w:tc>
          <w:tcPr>
            <w:tcW w:w="28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Calibri" w:hAnsi="Calibri" w:eastAsia="" w:cs="Calibri" w:eastAsiaTheme="minorEastAsia"/>
                <w:lang w:eastAsia="ru-RU"/>
              </w:rPr>
            </w:pPr>
            <w:r>
              <w:rPr>
                <w:rFonts w:eastAsia="" w:cs="Calibri" w:eastAsiaTheme="minorEastAsia"/>
                <w:lang w:eastAsia="ru-RU"/>
              </w:rPr>
              <w:t>2020 - 2030</w:t>
            </w:r>
          </w:p>
        </w:tc>
      </w:tr>
    </w:tbl>
    <w:p>
      <w:pPr>
        <w:pStyle w:val="Normal"/>
        <w:widowControl w:val="false"/>
        <w:spacing w:lineRule="auto" w:line="240" w:before="0" w:after="0"/>
        <w:ind w:firstLine="540"/>
        <w:jc w:val="both"/>
        <w:rPr>
          <w:rFonts w:ascii="Calibri" w:hAnsi="Calibri" w:eastAsia="" w:cs="Calibri" w:eastAsiaTheme="minorEastAsia"/>
          <w:lang w:eastAsia="ru-RU"/>
        </w:rPr>
      </w:pPr>
      <w:r>
        <w:rPr>
          <w:rFonts w:eastAsia="" w:cs="Calibri" w:eastAsiaTheme="minorEastAsia"/>
          <w:lang w:eastAsia="ru-RU"/>
        </w:rPr>
      </w:r>
    </w:p>
    <w:p>
      <w:pPr>
        <w:pStyle w:val="Normal"/>
        <w:widowControl w:val="false"/>
        <w:spacing w:lineRule="auto" w:line="240" w:before="0" w:after="0"/>
        <w:ind w:firstLine="540"/>
        <w:jc w:val="both"/>
        <w:rPr>
          <w:rFonts w:ascii="Calibri" w:hAnsi="Calibri" w:eastAsia="" w:cs="Calibri" w:eastAsiaTheme="minorEastAsia"/>
          <w:lang w:eastAsia="ru-RU"/>
        </w:rPr>
      </w:pPr>
      <w:r>
        <w:rPr>
          <w:rFonts w:eastAsia="" w:cs="Calibri" w:eastAsiaTheme="minorEastAsia"/>
          <w:lang w:eastAsia="ru-RU"/>
        </w:rPr>
        <w:t xml:space="preserve">Финансовое обеспечение развития угольной отрасли планируется за счет совместных государственных и частных инвестиций. Государственную часть финансирования планируется обеспечивать за счет </w:t>
      </w:r>
      <w:hyperlink r:id="rId2">
        <w:r>
          <w:rPr>
            <w:rFonts w:eastAsia="" w:cs="Calibri" w:eastAsiaTheme="minorEastAsia"/>
            <w:color w:val="0000FF"/>
            <w:lang w:eastAsia="ru-RU"/>
          </w:rPr>
          <w:t>госпрограммы</w:t>
        </w:r>
      </w:hyperlink>
      <w:r>
        <w:rPr>
          <w:rFonts w:eastAsia="" w:cs="Calibri" w:eastAsiaTheme="minorEastAsia"/>
          <w:lang w:eastAsia="ru-RU"/>
        </w:rPr>
        <w:t xml:space="preserve"> "Развитие энергетики Сахалинской области".</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Подробный перечень мер по развитию отрасли, ответственные исполнители, сроки и финансовое обеспечение приведены в Плане мероприятий по реализации Стратегии социально-экономического развития Сахалинской области на период до 2035 г.</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b/>
          <w:lang w:eastAsia="ru-RU"/>
        </w:rPr>
        <w:t xml:space="preserve">3.3. </w:t>
      </w:r>
      <w:r>
        <w:rPr>
          <w:rFonts w:eastAsia="" w:cs="Calibri" w:eastAsiaTheme="minorEastAsia"/>
          <w:b/>
          <w:lang w:eastAsia="ru-RU"/>
        </w:rPr>
        <w:t>Рыбопромышленный комплекс.</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b/>
          <w:lang w:eastAsia="ru-RU"/>
        </w:rPr>
        <w:t>Меры по развитию отрасли и основные инвестиционные проекты, в т.ч. сроки, этапы и финансовое обеспечение развития</w:t>
      </w:r>
    </w:p>
    <w:p>
      <w:pPr>
        <w:pStyle w:val="ConsPlusNormal"/>
        <w:jc w:val="center"/>
        <w:rPr/>
      </w:pPr>
      <w:r>
        <w:rPr/>
      </w:r>
    </w:p>
    <w:p>
      <w:pPr>
        <w:pStyle w:val="ConsPlusNormal"/>
        <w:ind w:firstLine="540"/>
        <w:jc w:val="both"/>
        <w:rPr/>
      </w:pPr>
      <w:r>
        <w:rPr/>
        <w:t>Внутренними стратегическими целями развития рыбопромышленного комплекса на период до 2035 г. являются удержание стабильных темпов роста, наращивание объемов экспорта не менее чем в 1,3 раза, увеличение доли продукции глубокой переработки до 20% и выше, а также обеспечение населения разнообразной и качественной рыбной продукцией.</w:t>
      </w:r>
    </w:p>
    <w:p>
      <w:pPr>
        <w:pStyle w:val="ConsPlusNormal"/>
        <w:spacing w:before="220" w:after="0"/>
        <w:ind w:firstLine="540"/>
        <w:jc w:val="both"/>
        <w:rPr/>
      </w:pPr>
      <w:r>
        <w:rPr/>
        <w:t>Для достижения данных целей потребуется диверсификация промысла и выход в более высокие переделы продукции в рамках формирования рыбного кластера Сахалинской области.</w:t>
      </w:r>
    </w:p>
    <w:p>
      <w:pPr>
        <w:pStyle w:val="ConsPlusNormal"/>
        <w:spacing w:before="220" w:after="0"/>
        <w:ind w:firstLine="540"/>
        <w:jc w:val="both"/>
        <w:rPr/>
      </w:pPr>
      <w:r>
        <w:rPr/>
        <w:t>Стратегическими приоритетами кластера являются:</w:t>
      </w:r>
    </w:p>
    <w:p>
      <w:pPr>
        <w:pStyle w:val="ConsPlusNormal"/>
        <w:spacing w:before="220" w:after="0"/>
        <w:ind w:firstLine="540"/>
        <w:jc w:val="both"/>
        <w:rPr/>
      </w:pPr>
      <w:r>
        <w:rPr/>
        <w:t>- строительство современных береговых мощностей для увеличения объемов выгрузки на российский берег рыбы, рыбной и иной продукции из водных биоресурсов, в том числе для ее хранения с необходимым температурным режимом;</w:t>
      </w:r>
    </w:p>
    <w:p>
      <w:pPr>
        <w:pStyle w:val="ConsPlusNormal"/>
        <w:spacing w:before="220" w:after="0"/>
        <w:ind w:firstLine="540"/>
        <w:jc w:val="both"/>
        <w:rPr/>
      </w:pPr>
      <w:r>
        <w:rPr/>
        <w:t>- повышение степени переработки водных биоресурсов для поставок продукции в российские регионы и на внешний рынок;</w:t>
      </w:r>
    </w:p>
    <w:p>
      <w:pPr>
        <w:pStyle w:val="ConsPlusNormal"/>
        <w:spacing w:before="220" w:after="0"/>
        <w:ind w:firstLine="540"/>
        <w:jc w:val="both"/>
        <w:rPr/>
      </w:pPr>
      <w:r>
        <w:rPr/>
        <w:t>- создание инфраструктуры на региональном уровне глубокой переработки сырья;</w:t>
      </w:r>
    </w:p>
    <w:p>
      <w:pPr>
        <w:pStyle w:val="ConsPlusNormal"/>
        <w:spacing w:before="220" w:after="0"/>
        <w:ind w:firstLine="540"/>
        <w:jc w:val="both"/>
        <w:rPr/>
      </w:pPr>
      <w:r>
        <w:rPr/>
        <w:t>- вылов новых объектов промысла (сардина-иваси, скумбрия, тихоокеанский кальмар, морская капуста и др.);</w:t>
      </w:r>
    </w:p>
    <w:p>
      <w:pPr>
        <w:pStyle w:val="ConsPlusNormal"/>
        <w:spacing w:before="220" w:after="0"/>
        <w:ind w:firstLine="540"/>
        <w:jc w:val="both"/>
        <w:rPr/>
      </w:pPr>
      <w:r>
        <w:rPr/>
        <w:t>- создание условий для бизнеса, прежде всего для малых и средних предприятий, в сфере производства инновационных продуктов из добываемого сырья (БАДы, лекарственные препараты, пищевые и кормовые добавки);</w:t>
      </w:r>
    </w:p>
    <w:p>
      <w:pPr>
        <w:pStyle w:val="ConsPlusNormal"/>
        <w:spacing w:before="220" w:after="0"/>
        <w:ind w:firstLine="540"/>
        <w:jc w:val="both"/>
        <w:rPr/>
      </w:pPr>
      <w:r>
        <w:rPr/>
        <w:t>- развитие пунктов комплексного обслуживания судов, а также развития прибрежной и портовой инфраструктуры;</w:t>
      </w:r>
    </w:p>
    <w:p>
      <w:pPr>
        <w:pStyle w:val="ConsPlusNormal"/>
        <w:spacing w:before="220" w:after="0"/>
        <w:ind w:firstLine="540"/>
        <w:jc w:val="both"/>
        <w:rPr/>
      </w:pPr>
      <w:r>
        <w:rPr/>
        <w:t>- создание условий благоприятствования для развития малых и средних предприятий в целях обеспечения населения рабочими местами;</w:t>
      </w:r>
    </w:p>
    <w:p>
      <w:pPr>
        <w:pStyle w:val="ConsPlusNormal"/>
        <w:spacing w:before="220" w:after="0"/>
        <w:ind w:firstLine="540"/>
        <w:jc w:val="both"/>
        <w:rPr/>
      </w:pPr>
      <w:r>
        <w:rPr/>
        <w:t>- развитие рыболовного туризма и создание благоприятных условий для любительского лова.</w:t>
      </w:r>
    </w:p>
    <w:p>
      <w:pPr>
        <w:pStyle w:val="ConsPlusNormal"/>
        <w:spacing w:before="220" w:after="0"/>
        <w:ind w:firstLine="540"/>
        <w:jc w:val="both"/>
        <w:rPr/>
      </w:pPr>
      <w:r>
        <w:rPr/>
        <w:t>Решение задачи по формированию кластера предусматривается через организацию действий по следующим ключевым проектным направлениям:</w:t>
      </w:r>
    </w:p>
    <w:p>
      <w:pPr>
        <w:pStyle w:val="ConsPlusNormal"/>
        <w:spacing w:before="220" w:after="0"/>
        <w:ind w:firstLine="540"/>
        <w:jc w:val="both"/>
        <w:rPr/>
      </w:pPr>
      <w:r>
        <w:rPr/>
        <w:t>1) Увеличение добычи и глубины переработки водных биоресурсов, в том числе перспективных объектов промысла.</w:t>
      </w:r>
    </w:p>
    <w:p>
      <w:pPr>
        <w:pStyle w:val="ConsPlusNormal"/>
        <w:spacing w:before="220" w:after="0"/>
        <w:ind w:firstLine="540"/>
        <w:jc w:val="both"/>
        <w:rPr/>
      </w:pPr>
      <w:r>
        <w:rPr/>
        <w:t>Основными проектами являются:</w:t>
      </w:r>
    </w:p>
    <w:p>
      <w:pPr>
        <w:pStyle w:val="ConsPlusNormal"/>
        <w:spacing w:before="220" w:after="0"/>
        <w:ind w:firstLine="540"/>
        <w:jc w:val="both"/>
        <w:rPr/>
      </w:pPr>
      <w:r>
        <w:rPr/>
        <w:t>- создание производственной базы, инфраструктуры и условий для увеличения вылова новых объектов промысла: сардина-иваси, скумбрия, ламинария (потенциал - до 2 млн. тонн в год при запасах минимум на 25 лет), тихоокеанский кальмар;</w:t>
      </w:r>
    </w:p>
    <w:p>
      <w:pPr>
        <w:pStyle w:val="ConsPlusNormal"/>
        <w:spacing w:before="220" w:after="0"/>
        <w:ind w:firstLine="540"/>
        <w:jc w:val="both"/>
        <w:rPr/>
      </w:pPr>
      <w:r>
        <w:rPr/>
        <w:t>- создание предприятий и береговой инфраструктуры для глубокой и безотходной переработки водных биоресурсов, в том числе за счет перспективных объектов промысла.</w:t>
      </w:r>
    </w:p>
    <w:p>
      <w:pPr>
        <w:pStyle w:val="ConsPlusNormal"/>
        <w:spacing w:before="220" w:after="0"/>
        <w:ind w:firstLine="540"/>
        <w:jc w:val="both"/>
        <w:rPr/>
      </w:pPr>
      <w:r>
        <w:rPr/>
        <w:t>Для развития и создания производств глубокой переработки биоресурсов в Сахалинской области со стороны региона будет оказано содействие в реализации проектов бизнеса заинтересованным инвесторам;</w:t>
      </w:r>
    </w:p>
    <w:p>
      <w:pPr>
        <w:pStyle w:val="ConsPlusNormal"/>
        <w:spacing w:before="220" w:after="0"/>
        <w:ind w:firstLine="540"/>
        <w:jc w:val="both"/>
        <w:rPr/>
      </w:pPr>
      <w:r>
        <w:rPr/>
        <w:t>- увеличение добычи водных биологических ресурсов за счет использования благоприятных условий островного региона для развития марикультуры (морского гребешка, трепанга, устриц, мидий, морского ежа, ламинарии).</w:t>
      </w:r>
    </w:p>
    <w:p>
      <w:pPr>
        <w:pStyle w:val="ConsPlusNormal"/>
        <w:spacing w:before="220" w:after="0"/>
        <w:ind w:firstLine="540"/>
        <w:jc w:val="both"/>
        <w:rPr/>
      </w:pPr>
      <w:r>
        <w:rPr/>
        <w:t>2) Развитие товарной аквакультуры.</w:t>
      </w:r>
    </w:p>
    <w:p>
      <w:pPr>
        <w:pStyle w:val="ConsPlusNormal"/>
        <w:spacing w:before="220" w:after="0"/>
        <w:ind w:firstLine="540"/>
        <w:jc w:val="both"/>
        <w:rPr/>
      </w:pPr>
      <w:r>
        <w:rPr/>
        <w:t>Данное проектное направление требует, прежде всего, модернизации нормативной базы в части передачи в пользование рыбоводных участков, закреплении прав собственности на промысловый возврат. Другой обеспечивающей мерой со стороны ПСО должно стать субсидирование части затрат бизнеса для создания производств пастбищной аквакультуры (корма, посадочный материал, др.).</w:t>
      </w:r>
    </w:p>
    <w:p>
      <w:pPr>
        <w:pStyle w:val="ConsPlusNormal"/>
        <w:spacing w:before="220" w:after="0"/>
        <w:ind w:firstLine="540"/>
        <w:jc w:val="both"/>
        <w:rPr/>
      </w:pPr>
      <w:r>
        <w:rPr/>
        <w:t>Ключевой проект - строительство заводов по воспроизводству и товарному выращиванию тихоокеанских лососей, в том числе с государственным участием. Также перспективными продуктами для кластера являются трепанг, морской гребешок, морской еж, устрицы, мидии, морская капуста.</w:t>
      </w:r>
    </w:p>
    <w:p>
      <w:pPr>
        <w:pStyle w:val="ConsPlusNormal"/>
        <w:spacing w:before="220" w:after="0"/>
        <w:ind w:firstLine="540"/>
        <w:jc w:val="both"/>
        <w:rPr/>
      </w:pPr>
      <w:r>
        <w:rPr/>
        <w:t>3) Строительство семи рыборазводных заводов, а также рыбоводных питомников на о. Сахалин и Курильских островах.</w:t>
      </w:r>
    </w:p>
    <w:p>
      <w:pPr>
        <w:pStyle w:val="ConsPlusNormal"/>
        <w:spacing w:before="220" w:after="0"/>
        <w:ind w:firstLine="540"/>
        <w:jc w:val="both"/>
        <w:rPr/>
      </w:pPr>
      <w:r>
        <w:rPr/>
        <w:t>Производство и выпуск молоди кеты в целях увеличения популяции в Западно-Сахалинской подзоне и увеличения процента возврата зрелых особей. Акваферма по выращиванию морского гребешка и морской капусты (ламинарии).</w:t>
      </w:r>
    </w:p>
    <w:p>
      <w:pPr>
        <w:pStyle w:val="ConsPlusNormal"/>
        <w:spacing w:before="220" w:after="0"/>
        <w:ind w:firstLine="540"/>
        <w:jc w:val="both"/>
        <w:rPr/>
      </w:pPr>
      <w:r>
        <w:rPr/>
        <w:t>4) Развитие инфраструктуры.</w:t>
      </w:r>
    </w:p>
    <w:p>
      <w:pPr>
        <w:pStyle w:val="ConsPlusNormal"/>
        <w:spacing w:before="220" w:after="0"/>
        <w:ind w:firstLine="540"/>
        <w:jc w:val="both"/>
        <w:rPr/>
      </w:pPr>
      <w:r>
        <w:rPr/>
        <w:t>Обеспечивающей мерой проектного направления является развитие пунктов комплексного обслуживания судов (судоремонт, снабжение флота), портовой инфраструктуры. Ключевым проектом является создание предприятия по судовому ремонту.</w:t>
      </w:r>
    </w:p>
    <w:p>
      <w:pPr>
        <w:pStyle w:val="ConsPlusNormal"/>
        <w:spacing w:before="220" w:after="0"/>
        <w:ind w:firstLine="540"/>
        <w:jc w:val="both"/>
        <w:rPr/>
      </w:pPr>
      <w:r>
        <w:rPr/>
        <w:t>5) Модернизация нормативной базы.</w:t>
      </w:r>
    </w:p>
    <w:p>
      <w:pPr>
        <w:pStyle w:val="ConsPlusNormal"/>
        <w:spacing w:before="220" w:after="0"/>
        <w:ind w:firstLine="540"/>
        <w:jc w:val="both"/>
        <w:rPr/>
      </w:pPr>
      <w:r>
        <w:rPr/>
        <w:t>Необходимо совместно с федеральным центром инициировать, а также осуществить реконструкцию пункта пропуска через государственную границу Российской Федерации на о. Шикотан.</w:t>
      </w:r>
    </w:p>
    <w:p>
      <w:pPr>
        <w:pStyle w:val="ConsPlusNormal"/>
        <w:spacing w:before="220" w:after="0"/>
        <w:ind w:firstLine="540"/>
        <w:jc w:val="both"/>
        <w:rPr/>
      </w:pPr>
      <w:r>
        <w:rPr/>
        <w:t>6) Формирование региональной инфраструктуры сбыта добытых морепродуктов.</w:t>
      </w:r>
    </w:p>
    <w:p>
      <w:pPr>
        <w:pStyle w:val="ConsPlusNormal"/>
        <w:spacing w:before="220" w:after="0"/>
        <w:ind w:firstLine="540"/>
        <w:jc w:val="both"/>
        <w:rPr/>
      </w:pPr>
      <w:r>
        <w:rPr/>
        <w:t>Для рыбы и морепродуктов, выловленных в прибрежных акваториях необходимо создать логистический распределительный центр, оборудовать места для реализации уловов.</w:t>
      </w:r>
    </w:p>
    <w:p>
      <w:pPr>
        <w:pStyle w:val="ConsPlusNormal"/>
        <w:spacing w:before="220" w:after="0"/>
        <w:ind w:firstLine="540"/>
        <w:jc w:val="both"/>
        <w:rPr/>
      </w:pPr>
      <w:r>
        <w:rPr/>
        <w:t>7) Разработка и реализация совместных с отраслевыми ассоциациями мероприятий по привлечению местного населения в рыбохозяйственный сектор Сахалинской области.</w:t>
      </w:r>
    </w:p>
    <w:p>
      <w:pPr>
        <w:pStyle w:val="ConsPlusNormal"/>
        <w:spacing w:before="220" w:after="0"/>
        <w:ind w:firstLine="540"/>
        <w:jc w:val="both"/>
        <w:rPr/>
      </w:pPr>
      <w:r>
        <w:rPr/>
        <w:t>Ключевой проект - проведение анализа потребности отрасли в кадрах, участие в ведении информационной системы прогнозирования потребности в профессиональных кадрах для рыбохозяйственного комплекса в целях обеспечения социально-экономического развития Сахалинской области на среднесрочный и долгосрочный период.</w:t>
      </w:r>
    </w:p>
    <w:p>
      <w:pPr>
        <w:pStyle w:val="ConsPlusNormal"/>
        <w:spacing w:before="220" w:after="0"/>
        <w:ind w:firstLine="540"/>
        <w:jc w:val="both"/>
        <w:rPr/>
      </w:pPr>
      <w:r>
        <w:rPr/>
        <w:t>Также настоящей Стратегией предусмотрена реализация инвестиционного проекта "Создание предприятий и береговой инфраструктуры для глубокой и безотходной переработки водных биоресурсов, в том числе за счет перспективных объектов промысла", нацеленного на увеличение объемов производства продукции с высокой добавленной стоимостью и добычи перспективных объектов промысла (сардины-иваси, скумбрии и ламинарии).</w:t>
      </w:r>
    </w:p>
    <w:p>
      <w:pPr>
        <w:pStyle w:val="ConsPlusNormal"/>
        <w:spacing w:before="220" w:after="0"/>
        <w:ind w:firstLine="540"/>
        <w:jc w:val="both"/>
        <w:rPr/>
      </w:pPr>
      <w:r>
        <w:rPr/>
        <w:t>Срок реализации проекта 2018 - 2032 гг. При общей сумме инвестиций в 11,4 млрд. рублей, валовая ежегодная выручка от проекта после его выхода на проектную мощность составит 22 млрд. рублей. При этом будет создано около 830 новых рабочих мест.</w:t>
      </w:r>
    </w:p>
    <w:p>
      <w:pPr>
        <w:pStyle w:val="ConsPlusNormal"/>
        <w:spacing w:before="220" w:after="0"/>
        <w:ind w:firstLine="540"/>
        <w:jc w:val="both"/>
        <w:rPr/>
      </w:pPr>
      <w:r>
        <w:rPr/>
        <w:t xml:space="preserve">Финансовое обеспечение развития рыбной отрасли планируется за счет частных инвестиций с возможным возмещением части фактических затрат. Финансирование планируется обеспечивать за счет реализации мероприятий госпрограмм: </w:t>
      </w:r>
      <w:hyperlink r:id="rId3">
        <w:r>
          <w:rPr>
            <w:color w:val="0000FF"/>
          </w:rPr>
          <w:t>"Развитие рыбохозяйственного комплекса Сахалинской области"</w:t>
        </w:r>
      </w:hyperlink>
      <w:r>
        <w:rPr/>
        <w:t>, "Экономическое развитие и инновационная политика Сахалинской области" (</w:t>
      </w:r>
      <w:hyperlink r:id="rId4">
        <w:r>
          <w:rPr>
            <w:color w:val="0000FF"/>
          </w:rPr>
          <w:t>подпрограмма</w:t>
        </w:r>
      </w:hyperlink>
      <w:r>
        <w:rPr/>
        <w:t xml:space="preserve"> "Развитие инвестиционного потенциала Сахалинской области").</w:t>
      </w:r>
    </w:p>
    <w:p>
      <w:pPr>
        <w:pStyle w:val="ConsPlusNormal"/>
        <w:spacing w:before="220" w:after="0"/>
        <w:ind w:firstLine="540"/>
        <w:jc w:val="both"/>
        <w:rPr/>
      </w:pPr>
      <w:r>
        <w:rPr/>
        <w:t>Подробный перечень мер по развитию отрасли, ответственные исполнители, сроки и финансовое обеспечение приведены в Плане мероприятий по реализации Стратегии социально-экономического развития Сахалинской области на период до 2035 г.</w:t>
      </w:r>
    </w:p>
    <w:p>
      <w:pPr>
        <w:pStyle w:val="ConsPlusNormal"/>
        <w:spacing w:before="220" w:after="0"/>
        <w:ind w:firstLine="540"/>
        <w:jc w:val="both"/>
        <w:rPr/>
      </w:pPr>
      <w:r>
        <w:rPr>
          <w:rFonts w:eastAsia="" w:cs="Calibri" w:eastAsiaTheme="minorEastAsia"/>
          <w:b/>
          <w:lang w:eastAsia="ru-RU"/>
        </w:rPr>
        <w:t>Формирование новых кластеров</w:t>
      </w:r>
    </w:p>
    <w:p>
      <w:pPr>
        <w:pStyle w:val="Normal"/>
        <w:widowControl w:val="false"/>
        <w:spacing w:lineRule="auto" w:line="240" w:before="0" w:after="0"/>
        <w:jc w:val="center"/>
        <w:rPr>
          <w:rFonts w:ascii="Calibri" w:hAnsi="Calibri" w:eastAsia="" w:cs="Calibri" w:eastAsiaTheme="minorEastAsia"/>
          <w:lang w:eastAsia="ru-RU"/>
        </w:rPr>
      </w:pPr>
      <w:r>
        <w:rPr>
          <w:rFonts w:eastAsia="" w:cs="Calibri" w:eastAsiaTheme="minorEastAsia"/>
          <w:lang w:eastAsia="ru-RU"/>
        </w:rPr>
      </w:r>
    </w:p>
    <w:p>
      <w:pPr>
        <w:pStyle w:val="Normal"/>
        <w:widowControl w:val="false"/>
        <w:spacing w:lineRule="auto" w:line="240" w:before="0" w:after="0"/>
        <w:ind w:firstLine="540"/>
        <w:jc w:val="both"/>
        <w:rPr>
          <w:rFonts w:ascii="Calibri" w:hAnsi="Calibri" w:eastAsia="" w:cs="Calibri" w:eastAsiaTheme="minorEastAsia"/>
          <w:lang w:eastAsia="ru-RU"/>
        </w:rPr>
      </w:pPr>
      <w:r>
        <w:rPr>
          <w:rFonts w:eastAsia="" w:cs="Calibri" w:eastAsiaTheme="minorEastAsia"/>
          <w:lang w:eastAsia="ru-RU"/>
        </w:rPr>
        <w:t>Основная цель региона в области формирования новых кластеров - создание условий для оформления устойчивых отраслей, специализирующихся на продукции с высокой добавленной стоимостью и вносящих существенный вклад в экономическое развитие региона.</w:t>
      </w:r>
    </w:p>
    <w:p>
      <w:pPr>
        <w:pStyle w:val="Normal"/>
        <w:widowControl w:val="false"/>
        <w:spacing w:lineRule="auto" w:line="240" w:before="0" w:after="0"/>
        <w:ind w:firstLine="540"/>
        <w:jc w:val="both"/>
        <w:rPr>
          <w:rFonts w:ascii="Calibri" w:hAnsi="Calibri" w:eastAsia="" w:cs="Calibri" w:eastAsiaTheme="minorEastAsia"/>
          <w:lang w:eastAsia="ru-RU"/>
        </w:rPr>
      </w:pPr>
      <w:r>
        <w:rPr/>
      </w:r>
    </w:p>
    <w:p>
      <w:pPr>
        <w:pStyle w:val="Normal"/>
        <w:widowControl w:val="false"/>
        <w:spacing w:lineRule="auto" w:line="240" w:before="0" w:after="0"/>
        <w:ind w:firstLine="540"/>
        <w:jc w:val="both"/>
        <w:rPr>
          <w:rFonts w:ascii="Calibri" w:hAnsi="Calibri" w:eastAsia="" w:cs="Calibri" w:eastAsiaTheme="minorEastAsia"/>
          <w:lang w:eastAsia="ru-RU"/>
        </w:rPr>
      </w:pPr>
      <w:r>
        <w:rPr>
          <w:rFonts w:eastAsia="" w:cs="Calibri" w:eastAsiaTheme="minorEastAsia"/>
          <w:b/>
          <w:lang w:eastAsia="ru-RU"/>
        </w:rPr>
        <w:t xml:space="preserve">3.4. </w:t>
      </w:r>
      <w:r>
        <w:rPr>
          <w:rFonts w:eastAsia="" w:cs="Calibri" w:eastAsiaTheme="minorEastAsia"/>
          <w:b/>
          <w:lang w:eastAsia="ru-RU"/>
        </w:rPr>
        <w:t>Нефтегазохимия</w:t>
      </w:r>
    </w:p>
    <w:p>
      <w:pPr>
        <w:pStyle w:val="Normal"/>
        <w:widowControl w:val="false"/>
        <w:spacing w:lineRule="auto" w:line="240" w:before="0" w:after="0"/>
        <w:ind w:firstLine="540"/>
        <w:jc w:val="both"/>
        <w:rPr>
          <w:rFonts w:ascii="Calibri" w:hAnsi="Calibri" w:eastAsia="" w:cs="Calibri" w:eastAsiaTheme="minorEastAsia"/>
          <w:lang w:eastAsia="ru-RU"/>
        </w:rPr>
      </w:pPr>
      <w:r>
        <w:rPr>
          <w:rFonts w:eastAsia="" w:cs="Calibri" w:eastAsiaTheme="minorEastAsia"/>
          <w:b/>
          <w:lang w:eastAsia="ru-RU"/>
        </w:rPr>
        <w:t>Предпосылки и потенциал создания и развития кластера</w:t>
      </w:r>
    </w:p>
    <w:p>
      <w:pPr>
        <w:pStyle w:val="Normal"/>
        <w:widowControl w:val="false"/>
        <w:spacing w:lineRule="auto" w:line="240" w:before="0" w:after="0"/>
        <w:jc w:val="center"/>
        <w:rPr>
          <w:rFonts w:ascii="Calibri" w:hAnsi="Calibri" w:eastAsia="" w:cs="Calibri" w:eastAsiaTheme="minorEastAsia"/>
          <w:lang w:eastAsia="ru-RU"/>
        </w:rPr>
      </w:pPr>
      <w:r>
        <w:rPr>
          <w:rFonts w:eastAsia="" w:cs="Calibri" w:eastAsiaTheme="minorEastAsia"/>
          <w:lang w:eastAsia="ru-RU"/>
        </w:rPr>
      </w:r>
    </w:p>
    <w:p>
      <w:pPr>
        <w:pStyle w:val="Normal"/>
        <w:widowControl w:val="false"/>
        <w:spacing w:lineRule="auto" w:line="240" w:before="0" w:after="0"/>
        <w:ind w:firstLine="540"/>
        <w:jc w:val="both"/>
        <w:rPr>
          <w:rFonts w:ascii="Calibri" w:hAnsi="Calibri" w:eastAsia="" w:cs="Calibri" w:eastAsiaTheme="minorEastAsia"/>
          <w:lang w:eastAsia="ru-RU"/>
        </w:rPr>
      </w:pPr>
      <w:r>
        <w:rPr>
          <w:rFonts w:eastAsia="" w:cs="Calibri" w:eastAsiaTheme="minorEastAsia"/>
          <w:lang w:eastAsia="ru-RU"/>
        </w:rPr>
        <w:t>Формирование и развитие нефтегазохимического кластера в Сахалинской области планируется на базе "большого" нефтегазового комплекса, занимающего доминирующее положение в региональной экономике.</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Рынки нефтегазохимической продукции имеют высокий потенциал долгосрочного роста, и для них характерно наличие более высокого уровня добавленной стоимости. В том числе среди основных рынков крупнотоннажных нефтегазохимикатов наиболее перспективными представляются сегменты производства олефинов и полиолефинов. Так, ожидается, что мировой спрос на полиолефины вырастет и к 2023 г. мировой рынок полиолефинов достигнет 324 млрд. долл. США.</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При условии достижения договоренностей с добывающими компаниями Сахалинской области по поводу отгрузки необходимого количества сырья весьма перспективным может являться создание газохимического комплекса в Сахалинской области. Однако в крупнотоннажной газохимии у Сахалинской области имеется ряд потенциальных конкурентов, которые имеют, возможно, более сильные позиции. Среди них - проекты Приморского края, Республики Якутия, Амурской области и другие. Главным ограничителем развития крупнотоннажной химии является отсутствие достаточного объема сырья, которое может быть направлено на производственные проекты на Сахалине. Нефть и конденсат, добываемые на проектах "Сахалин-1" и "Сахалин-2", поставляются на экспорт в страны АТР. Большая часть газа, добываемого на проекте "Сахалин-2", идет на производство СПГ, который направляется на экспорт потребителям в страны АТР (большая часть потребителей имеют долгосрочные контракты), также производится поставка газа на внутренний рынок Сахалинской области и Приморского края в счет роялти. Проект "Сахалин-3" пока не способен выдавать объемы, достаточные для нефтегазохимических проектов.</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Сахалинская область имеет перспективы не только в крупнотоннажной, но и в малотоннажной химии. Это наиболее высокотехнологичная отрасль нефтегазохимической промышленности, продукция которой в значительной части обеспечивает возможность развития предприятий в логике Индустрии 4.0 (в особенности в части новых функциональных материалов - наноматериалов, биополимеров, биотехнологических материалов; биосенсоров, антикоррозионных материалов, кристаллических материалов для термоэлектрических преобразователей энергии и т.д., при этом средняя рентабельность проектов в данном секторе составляет 18 - 30%). Малотоннажная химия - продукция высоких переделов, объем единичной мощности может составлять 1 - 10 тысяч тонн в год, стоимостные параметры находятся в диапазоне 5 - 10 тысяч долл. США за 1 кг продукции. В основе сегментации химической промышленности лежат стоимостные и объемные параметры, а также специфичность выпускаемой продукции.</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В Российской Федерации доля производства малотоннажной химической продукции в натуральном выражении составляет 5% от всей химии (в странах ЕС этот показатель равен 28%), в стоимостном выражении составляет не более 10 - 15% общего объема производства химической продукции (в развитых странах она достигает 40% и более).</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За период с 2010 по 2016 гг. производство малотоннажной и среднетоннажной химии в Российской Федерации увеличилось на 22,5%, объем потребления вырос практически на те же 22,3%.</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С точки зрения высокого потенциала импортозамещения, значительного объема внутреннего рынка, возможности достижения необходимого эффекта масштаба для обеспечения конкурентоспособности на мировом уровне на период до 2025 г. можно выделить следующие перспективные сегменты малотоннажной химической продукции:</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поверхностно-активные вещества;</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клеи, герметики (в том числе нефтеполимерные и синтетические смолы);</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химические вещества для пищевых добавок;</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катализаторы, инициаторы, ингибиторы (кроме ингибиторов коррозии, катализаторов нефтехимической и нефтеперерабатывающей промышленности);</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химические средства защиты растений;</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химические реактивы и растворители;</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вещества для нефтедобычи и транспортировки нефти по трубопроводам;</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вещества для водоподготовки;</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прочие пластики и каучуки специального назначения.</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При этом на Сахалине конкретная конфигурация малотоннажного химического производства будет зависеть от двух факторов:</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во-первых, очень важны договоренности по источникам сырья. Ситуация с обеспечением новых проектов в нефтегазохимической отрасли должна измениться в пользу более гибкого формирования контрактной базы потребителей, но, что более важно, должны быть обеспечены новые источники получения сырья;</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во-вторых, ввиду дефицита инвесторов и технологически компетентных компаний внутри страны, необходимо определить конфигурацию наиболее перспективных партнерств, в том числе с иностранным участием. При этом среди партнеров должны быть не только компании, способные организовать технологический цикл, но и потенциальные клиенты (что особенно важно для малотоннажной химии, которая очень зависима от предпочтений конечного потребителя).</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Формирование партнерств перспективных проектов в нефтегазохимии должно стать ключевым стратегическим вектором Сахалинской области в ближайшие годы. Формирование партнерств возможно реализовать как в крупнотоннажной, так и в малотоннажной химии. В условиях географического положения, стратегических интересов Сахалинской области, а также санкционного давления имеет смысл ориентироваться на партнеров из стран АТР. При этом крупные японские компании (Sodeco, Mitsui, Mitsubishi) уже присутствует в нефтегазовом секторе Сахалинской области в качестве партнеров сырьевых проектов.</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Расширение производства и диверсификация направления сбыта СПГ для нужд Сахалинской области и регионов Дальнего Востока также является хорошей возможностью для развития базовой нефтегазовой отрасли. Поэтому на территории области важно обеспечить развитие малотоннажного СПГ (мтСПГ, микро-СПГ).</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Среднегодовой темп прироста потребления малотоннажного СПГ в мире до 2030 г. прогнозируется на уровне 8 - 10% в год (для сравнения нефть до 2025 г. - 4%, СПГ до 2025 г. - 5,74%). Уже в 2017 г. объем мирового рынка малотоннажного СПГ составил 30 млн. т/6,3 млрд. долл. США.</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Малотоннажный СПГ охватывает все элементы технологической цепочки производства, поставки, хранения, распределения СПГ. В отличие от крупнотоннажного производства, ориентированного на крупные поставки СПГ водным транспортом на международные рынки, малотоннажное производство, нацелено на межрегиональную торговлю (ближний экспорт) и удовлетворение спроса на внутреннем рынке, что требует развитой производственно-сбытовой инфраструктуры.</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Драйверами развития рынка мтСПГ являются:</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необходимость автономного энергоснабжения удаленных и островных территорий;</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ужесточение экологических нормативно-правовых требований к двигателям внутреннего сгорания (транспорт, суда);</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ценовая конкурентоспособность СПГ по отношению к дизельному топливу.</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За счет этих драйверов сахалинский рынок мтСПГ может получить значительное развитие. При этом необходимо учитывать, что в настоящий момент российский рынок в целом находится в самом начале процесса формирования. Объем производства мтСПГ в России в 2017 г. составил 70 тыс. т, при этом 76% продукции идет на экспорт.</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xml:space="preserve">Совокупный производственный потенциал России в сфере водородного топлива, раскрытие которого не требует строительства новых генерирующих объектов, может быть оценен на основе величины выпускаемого и невыпускаемого резервов в энергосистеме России. Это направление развития рынка систем накопления энергии (СНЭ) предполагает создание в России промышленных активов по производству водорода на основе ресурсов электроэнергии и воды с последующим превращением произведенного водородного топлива в формы, доступные и удобные для крупнотоннажного хранения и транспортировки. </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Как видно, значительная доля запертых мощностей, которые могут быть использованы для производства водорода, сосредоточены в Сибири и на Дальнем Востоке в непосредственной близости от наиболее ориентированного на импорт водорода азиатского рынка.</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Богатый ветровой потенциал Сахалинской области в сочетании с низкой плотностью населения создает предпосылки для реализации проектов по производству "зеленого" водорода, а географическая близость региона к ключевым рынкам сбыта делает его перспективным направлением экспорта. Данное стратегическое направление также позволит создать на территории Сахалинской области кластер высокотехнологичных перерабатывающих производств в рамках оптимизации региональной стратегии по направлению нефтегазохимии. Таким образом, появляется возможность формирования дополнительного экспортно ориентированного промышленного актива, деятельность которого по производству и продаже водородного топлива создает мультипликативный эффект для экономики Сахалинской области. Так, к 2024 г. доля региона по производству водорода на рынке АТР может составить - 0,8 - 1%. При этом, с учетом ранней стадии формирования рынка водорода в целом, доля региона от общероссийского производства водорода может составить порядка 10 - 15% (350 - 525 тыс. т).</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В настоящий момент глобальный рынок использования водорода в качестве топлива (энергоносителя) находится в самом начале процесса формирования. Рынок систем водородной энергетики представляет собой рынок продукции энергетического и химического машиностроения, используемой при накоплении электроэнергии в водородном цикле, т.е. при производстве, хранении, транспортировке водорода и выработке энергии из водородного топлива.</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По оценкам экспертов, среднегодовые темпы роста глобального рынка водорода составляют в среднем 15% на горизонте 2025 - 2030 гг. Мировой рынок потребления водородного топлива при оптимистичном сценарии к 2040 г. может достигнуть 164 млрд. долл. США. При этом рынок поставок в страны АТР вырастет с 45,2 млрд. долл. США до 70 млрд. к 2025 г.</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Основными сдерживающими факторами развития рынка являются:</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новизна продукта;</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отсутствие развитой инфраструктуры для производства и доставки водорода;</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дороговизна оборудования для хранения водорода.</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Аккумулирование электрической энергии в водородном цикле с целью последующих поставок водорода как энергоносителя на экспортные рынки - одно из наиболее многообещающих направлений развития рынка систем накопления энергии (СНЭ) в России. В рамках реализации этого направления Россия может претендовать на значимую долю формирующегося глобального рынка водородного топлива.</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Экономический эффект от развития накопления электроэнергии в виде водородного топлива определяется в большей степени ожидаемой экспортной выручкой российских компаний от продаж этого топлива за рубежом. Формирование цепочек поставки водородного топлива в страны-импортеры этого нового энергоресурса и системы распределения водородного топлива внутри этих стран является одним из драйверов распространения Интернета энергии. Технологии водородной энергетики, использующие водород в качестве топлива, наиболее массовое распространение получат на частном и общественном транспорте, а также в распределенном энергоснабжении частных домохозяйств и коммерческой недвижимости. В связи с этим построение водородной энергетики увеличивает число пользователей распределенной энергетики, создает дополнительные ресурсы гибкости энергосистем на стороне конечных потребителей и способствует тем самым росту спроса на реализацию архитектуры Интернета энергии.</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Интерес крупнейших мировых экономик, промышленных компаний и инвестиционных структур к возможности создания этой принципиально новой энергетической отрасли растет, что чревато ростом конкуренции. Значимым подтверждением этому стало создание в январе 2017 г. Водородного совета (Hydrogen Council) - ассоциации крупнейших мировых энергетических и машиностроительных компаний, нацеленной на создание водородной энергетики в мировом масштабе. Собственные стратегии и программы построения водородной энергетики и перехода к использованию водородного топлива на транспорте, в электро- и теплоэнергетике на национальном уровне реализуют США, ЕС, Великобритания, Япония, Китай, Республика Корея и Австралия.</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b/>
          <w:lang w:eastAsia="ru-RU"/>
        </w:rPr>
        <w:t>Приоритетные направления и проекты развития</w:t>
      </w:r>
    </w:p>
    <w:p>
      <w:pPr>
        <w:pStyle w:val="Normal"/>
        <w:widowControl w:val="false"/>
        <w:spacing w:lineRule="auto" w:line="240" w:before="0" w:after="0"/>
        <w:jc w:val="center"/>
        <w:rPr>
          <w:rFonts w:ascii="Calibri" w:hAnsi="Calibri" w:eastAsia="" w:cs="Calibri" w:eastAsiaTheme="minorEastAsia"/>
          <w:lang w:eastAsia="ru-RU"/>
        </w:rPr>
      </w:pPr>
      <w:r>
        <w:rPr>
          <w:rFonts w:eastAsia="" w:cs="Calibri" w:eastAsiaTheme="minorEastAsia"/>
          <w:lang w:eastAsia="ru-RU"/>
        </w:rPr>
      </w:r>
    </w:p>
    <w:p>
      <w:pPr>
        <w:pStyle w:val="Normal"/>
        <w:widowControl w:val="false"/>
        <w:spacing w:lineRule="auto" w:line="240" w:before="0" w:after="0"/>
        <w:ind w:firstLine="540"/>
        <w:jc w:val="both"/>
        <w:rPr>
          <w:rFonts w:ascii="Calibri" w:hAnsi="Calibri" w:eastAsia="" w:cs="Calibri" w:eastAsiaTheme="minorEastAsia"/>
          <w:lang w:eastAsia="ru-RU"/>
        </w:rPr>
      </w:pPr>
      <w:r>
        <w:rPr>
          <w:rFonts w:eastAsia="" w:cs="Calibri" w:eastAsiaTheme="minorEastAsia"/>
          <w:lang w:eastAsia="ru-RU"/>
        </w:rPr>
        <w:t>Нефтегазохимический кластер Сахалинской области формируется как горизонтально интегрированная производственная сеть, объединяющая промышленный потенциал региона в области добычи, транспортировки сырья и производства конечной продукции, а также привлечения в регион новых звеньев цепочки - нефтегазопереработки и нефтегазохимии.</w:t>
      </w:r>
    </w:p>
    <w:p>
      <w:pPr>
        <w:pStyle w:val="Normal"/>
        <w:widowControl w:val="false"/>
        <w:spacing w:lineRule="auto" w:line="240" w:before="0" w:after="0"/>
        <w:ind w:firstLine="540"/>
        <w:jc w:val="both"/>
        <w:rPr>
          <w:rFonts w:ascii="Calibri" w:hAnsi="Calibri" w:eastAsia="" w:cs="Calibri" w:eastAsiaTheme="minorEastAsia"/>
          <w:lang w:eastAsia="ru-RU"/>
        </w:rPr>
      </w:pPr>
      <w:r>
        <w:rPr/>
      </w:r>
    </w:p>
    <w:p>
      <w:pPr>
        <w:pStyle w:val="Normal"/>
        <w:widowControl w:val="false"/>
        <w:spacing w:lineRule="auto" w:line="240" w:before="0" w:after="0"/>
        <w:ind w:firstLine="540"/>
        <w:jc w:val="both"/>
        <w:rPr>
          <w:rFonts w:ascii="Calibri" w:hAnsi="Calibri" w:eastAsia="" w:cs="Calibri" w:eastAsiaTheme="minorEastAsia"/>
          <w:lang w:eastAsia="ru-RU"/>
        </w:rPr>
      </w:pPr>
      <w:r>
        <w:rPr>
          <w:rFonts w:eastAsia="" w:cs="Calibri" w:eastAsiaTheme="minorEastAsia"/>
          <w:b/>
          <w:lang w:eastAsia="ru-RU"/>
        </w:rPr>
        <w:t>Малотоннажный СПГ</w:t>
      </w:r>
    </w:p>
    <w:p>
      <w:pPr>
        <w:pStyle w:val="Normal"/>
        <w:widowControl w:val="false"/>
        <w:spacing w:lineRule="auto" w:line="240" w:before="0" w:after="0"/>
        <w:jc w:val="center"/>
        <w:rPr>
          <w:rFonts w:ascii="Calibri" w:hAnsi="Calibri" w:eastAsia="" w:cs="Calibri" w:eastAsiaTheme="minorEastAsia"/>
          <w:lang w:eastAsia="ru-RU"/>
        </w:rPr>
      </w:pPr>
      <w:r>
        <w:rPr>
          <w:rFonts w:eastAsia="" w:cs="Calibri" w:eastAsiaTheme="minorEastAsia"/>
          <w:lang w:eastAsia="ru-RU"/>
        </w:rPr>
      </w:r>
    </w:p>
    <w:p>
      <w:pPr>
        <w:pStyle w:val="Normal"/>
        <w:widowControl w:val="false"/>
        <w:spacing w:lineRule="auto" w:line="240" w:before="0" w:after="0"/>
        <w:ind w:firstLine="540"/>
        <w:jc w:val="both"/>
        <w:rPr>
          <w:rFonts w:ascii="Calibri" w:hAnsi="Calibri" w:eastAsia="" w:cs="Calibri" w:eastAsiaTheme="minorEastAsia"/>
          <w:lang w:eastAsia="ru-RU"/>
        </w:rPr>
      </w:pPr>
      <w:r>
        <w:rPr>
          <w:rFonts w:eastAsia="" w:cs="Calibri" w:eastAsiaTheme="minorEastAsia"/>
          <w:lang w:eastAsia="ru-RU"/>
        </w:rPr>
        <w:t>Приоритетные направления в рамках формирования подотрасли "Малотоннажный СПГ":</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1) создание промышленного комплекса по производству малотоннажного СПГ:</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организация производства малотоннажного СПГ: рассматривается место расположения - в г. Поронайске, с. Дальнее, г. Корсакове. Планируемые производственные мощности - до 44,8 тыс. тонн в год;</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введение 2 - 3 очередей завода СПГ ООО ПСК "Сахалин", планируемые мощности - 25 тыс. т в год;</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2) строительство пункта приема, хранения, регазификации СПГ, одоризации и отпуска газа потребителям на о. Сахалин;</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3) развертывание сети стационарных и передвижных комплексов для заправки автомобильной, дорожной, горной и сельскохозяйственной техники, в т.ч. 9 автомобильных газонаполнительных компрессионных станций (АГНКС) и 6 передвижных автогазозаправщиков (ПАГЗ), обеспечивающих потребности 50 тыс. автомобилей в 2025 г.;</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4) создание парка специальной техники для автомобильной транспортировки СПГ;</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5) создание сети плавучих установок на СПГ для теплоэлектроснабжения потребителей на Курильских островах и потребителей за пределами Сахалинской области;</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6) создание бункеровочной инфраструктуры в составе специализированных судов для транспортировки СПГ. Ключевой обеспечивающей мерой является согласование мероприятий судоходных компаний по переводу их флота на СПГ (морские суда, рыболовный флот);</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7) реализация пилотного проекта по переводу на СПГ карьерной техники;</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8) стимулирование перевода на СПГ автомобильного транспорта и сельскохозяйственной техники, согласование мероприятий транспортных компаний и сельскохозяйственных предприятий по переводу их парка машин на СПГ и вводу в эксплуатацию стационарных заправочных комплексов;</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9) создание центра компетенций применения СПГ. Центр компетенций в области инжиниринговых, исследовательских и консультационных услуг, программ подготовки научных и инженерных кадров.</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xml:space="preserve">Реализация приоритетных направлений планируется в форме инвестиционного проекта "Сахалинский малотоннажный СПГ". Целевые показатели проекта приведены в таблице </w:t>
      </w:r>
      <w:r>
        <w:rPr>
          <w:rFonts w:eastAsia="" w:cs="Calibri" w:eastAsiaTheme="minorEastAsia"/>
          <w:lang w:eastAsia="ru-RU"/>
        </w:rPr>
        <w:t>3</w:t>
      </w:r>
      <w:r>
        <w:rPr>
          <w:rFonts w:eastAsia="" w:cs="Calibri" w:eastAsiaTheme="minorEastAsia"/>
          <w:lang w:eastAsia="ru-RU"/>
        </w:rPr>
        <w:t>.</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b/>
          <w:lang w:eastAsia="ru-RU"/>
        </w:rPr>
        <w:t xml:space="preserve">Таблица </w:t>
      </w:r>
      <w:r>
        <w:rPr>
          <w:rFonts w:eastAsia="" w:cs="Calibri" w:eastAsiaTheme="minorEastAsia"/>
          <w:b/>
          <w:lang w:eastAsia="ru-RU"/>
        </w:rPr>
        <w:t>3</w:t>
      </w:r>
      <w:r>
        <w:rPr>
          <w:rFonts w:eastAsia="" w:cs="Calibri" w:eastAsiaTheme="minorEastAsia"/>
          <w:b/>
          <w:lang w:eastAsia="ru-RU"/>
        </w:rPr>
        <w:t>. ЦЕЛЕВЫЕ ПОКАЗАТЕЛИ ПРОЕКТА</w:t>
      </w:r>
    </w:p>
    <w:p>
      <w:pPr>
        <w:pStyle w:val="Normal"/>
        <w:widowControl w:val="false"/>
        <w:spacing w:lineRule="auto" w:line="240" w:before="0" w:after="0"/>
        <w:ind w:firstLine="540"/>
        <w:jc w:val="both"/>
        <w:rPr>
          <w:rFonts w:ascii="Calibri" w:hAnsi="Calibri" w:eastAsia="" w:cs="Calibri" w:eastAsiaTheme="minorEastAsia"/>
          <w:lang w:eastAsia="ru-RU"/>
        </w:rPr>
      </w:pPr>
      <w:r>
        <w:rPr>
          <w:rFonts w:eastAsia="" w:cs="Calibri" w:eastAsiaTheme="minorEastAsia"/>
          <w:lang w:eastAsia="ru-RU"/>
        </w:rPr>
      </w:r>
    </w:p>
    <w:tbl>
      <w:tblPr>
        <w:tblW w:w="9071"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4534"/>
        <w:gridCol w:w="2269"/>
        <w:gridCol w:w="2268"/>
      </w:tblGrid>
      <w:tr>
        <w:trPr/>
        <w:tc>
          <w:tcPr>
            <w:tcW w:w="4534" w:type="dxa"/>
            <w:vMerge w:val="restart"/>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Calibri" w:hAnsi="Calibri" w:eastAsia="" w:cs="Calibri" w:eastAsiaTheme="minorEastAsia"/>
                <w:lang w:eastAsia="ru-RU"/>
              </w:rPr>
            </w:pPr>
            <w:r>
              <w:rPr>
                <w:rFonts w:eastAsia="" w:cs="Calibri" w:eastAsiaTheme="minorEastAsia"/>
                <w:lang w:eastAsia="ru-RU"/>
              </w:rPr>
              <w:t>Показатель</w:t>
            </w:r>
          </w:p>
        </w:tc>
        <w:tc>
          <w:tcPr>
            <w:tcW w:w="4537"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Calibri" w:hAnsi="Calibri" w:eastAsia="" w:cs="Calibri" w:eastAsiaTheme="minorEastAsia"/>
                <w:lang w:eastAsia="ru-RU"/>
              </w:rPr>
            </w:pPr>
            <w:r>
              <w:rPr>
                <w:rFonts w:eastAsia="" w:cs="Calibri" w:eastAsiaTheme="minorEastAsia"/>
                <w:lang w:eastAsia="ru-RU"/>
              </w:rPr>
              <w:t>Целевое значение</w:t>
            </w:r>
          </w:p>
        </w:tc>
      </w:tr>
      <w:tr>
        <w:trPr/>
        <w:tc>
          <w:tcPr>
            <w:tcW w:w="4534" w:type="dxa"/>
            <w:vMerge w:val="continue"/>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Calibri" w:hAnsi="Calibri" w:eastAsia="" w:cs="Calibri" w:eastAsiaTheme="minorEastAsia"/>
                <w:lang w:eastAsia="ru-RU"/>
              </w:rPr>
            </w:pPr>
            <w:r>
              <w:rPr>
                <w:rFonts w:eastAsia="" w:cs="Calibri" w:eastAsiaTheme="minorEastAsia"/>
                <w:lang w:eastAsia="ru-RU"/>
              </w:rPr>
            </w:r>
          </w:p>
        </w:tc>
        <w:tc>
          <w:tcPr>
            <w:tcW w:w="22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Calibri" w:hAnsi="Calibri" w:eastAsia="" w:cs="Calibri" w:eastAsiaTheme="minorEastAsia"/>
                <w:lang w:eastAsia="ru-RU"/>
              </w:rPr>
            </w:pPr>
            <w:r>
              <w:rPr>
                <w:rFonts w:eastAsia="" w:cs="Calibri" w:eastAsiaTheme="minorEastAsia"/>
                <w:lang w:eastAsia="ru-RU"/>
              </w:rPr>
              <w:t>2024</w:t>
            </w:r>
          </w:p>
        </w:tc>
        <w:tc>
          <w:tcPr>
            <w:tcW w:w="22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Calibri" w:hAnsi="Calibri" w:eastAsia="" w:cs="Calibri" w:eastAsiaTheme="minorEastAsia"/>
                <w:lang w:eastAsia="ru-RU"/>
              </w:rPr>
            </w:pPr>
            <w:r>
              <w:rPr>
                <w:rFonts w:eastAsia="" w:cs="Calibri" w:eastAsiaTheme="minorEastAsia"/>
                <w:lang w:eastAsia="ru-RU"/>
              </w:rPr>
              <w:t>2029</w:t>
            </w:r>
          </w:p>
        </w:tc>
      </w:tr>
      <w:tr>
        <w:trPr/>
        <w:tc>
          <w:tcPr>
            <w:tcW w:w="45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Calibri" w:hAnsi="Calibri" w:eastAsia="" w:cs="Calibri" w:eastAsiaTheme="minorEastAsia"/>
                <w:lang w:eastAsia="ru-RU"/>
              </w:rPr>
            </w:pPr>
            <w:r>
              <w:rPr>
                <w:rFonts w:eastAsia="" w:cs="Calibri" w:eastAsiaTheme="minorEastAsia"/>
                <w:lang w:eastAsia="ru-RU"/>
              </w:rPr>
              <w:t>Доля СПГ в автономной генерации</w:t>
            </w:r>
          </w:p>
        </w:tc>
        <w:tc>
          <w:tcPr>
            <w:tcW w:w="22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Calibri" w:hAnsi="Calibri" w:eastAsia="" w:cs="Calibri" w:eastAsiaTheme="minorEastAsia"/>
                <w:lang w:eastAsia="ru-RU"/>
              </w:rPr>
            </w:pPr>
            <w:r>
              <w:rPr>
                <w:rFonts w:eastAsia="" w:cs="Calibri" w:eastAsiaTheme="minorEastAsia"/>
                <w:lang w:eastAsia="ru-RU"/>
              </w:rPr>
              <w:t>50%</w:t>
            </w:r>
          </w:p>
        </w:tc>
        <w:tc>
          <w:tcPr>
            <w:tcW w:w="22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Calibri" w:hAnsi="Calibri" w:eastAsia="" w:cs="Calibri" w:eastAsiaTheme="minorEastAsia"/>
                <w:lang w:eastAsia="ru-RU"/>
              </w:rPr>
            </w:pPr>
            <w:r>
              <w:rPr>
                <w:rFonts w:eastAsia="" w:cs="Calibri" w:eastAsiaTheme="minorEastAsia"/>
                <w:lang w:eastAsia="ru-RU"/>
              </w:rPr>
              <w:t>100%</w:t>
            </w:r>
          </w:p>
        </w:tc>
      </w:tr>
      <w:tr>
        <w:trPr/>
        <w:tc>
          <w:tcPr>
            <w:tcW w:w="45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Calibri" w:hAnsi="Calibri" w:eastAsia="" w:cs="Calibri" w:eastAsiaTheme="minorEastAsia"/>
                <w:lang w:eastAsia="ru-RU"/>
              </w:rPr>
            </w:pPr>
            <w:r>
              <w:rPr>
                <w:rFonts w:eastAsia="" w:cs="Calibri" w:eastAsiaTheme="minorEastAsia"/>
                <w:lang w:eastAsia="ru-RU"/>
              </w:rPr>
              <w:t>Выручка</w:t>
            </w:r>
          </w:p>
        </w:tc>
        <w:tc>
          <w:tcPr>
            <w:tcW w:w="22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Calibri" w:hAnsi="Calibri" w:eastAsia="" w:cs="Calibri" w:eastAsiaTheme="minorEastAsia"/>
                <w:lang w:eastAsia="ru-RU"/>
              </w:rPr>
            </w:pPr>
            <w:r>
              <w:rPr>
                <w:rFonts w:eastAsia="" w:cs="Calibri" w:eastAsiaTheme="minorEastAsia"/>
                <w:lang w:eastAsia="ru-RU"/>
              </w:rPr>
              <w:t>3,6 млрд. руб.</w:t>
            </w:r>
          </w:p>
        </w:tc>
        <w:tc>
          <w:tcPr>
            <w:tcW w:w="22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Calibri" w:hAnsi="Calibri" w:eastAsia="" w:cs="Calibri" w:eastAsiaTheme="minorEastAsia"/>
                <w:lang w:eastAsia="ru-RU"/>
              </w:rPr>
            </w:pPr>
            <w:r>
              <w:rPr>
                <w:rFonts w:eastAsia="" w:cs="Calibri" w:eastAsiaTheme="minorEastAsia"/>
                <w:lang w:eastAsia="ru-RU"/>
              </w:rPr>
              <w:t>6,7 млрд. руб.</w:t>
            </w:r>
          </w:p>
        </w:tc>
      </w:tr>
      <w:tr>
        <w:trPr/>
        <w:tc>
          <w:tcPr>
            <w:tcW w:w="45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Calibri" w:hAnsi="Calibri" w:eastAsia="" w:cs="Calibri" w:eastAsiaTheme="minorEastAsia"/>
                <w:lang w:eastAsia="ru-RU"/>
              </w:rPr>
            </w:pPr>
            <w:r>
              <w:rPr>
                <w:rFonts w:eastAsia="" w:cs="Calibri" w:eastAsiaTheme="minorEastAsia"/>
                <w:lang w:eastAsia="ru-RU"/>
              </w:rPr>
              <w:t>Объем инвестиций</w:t>
            </w:r>
          </w:p>
        </w:tc>
        <w:tc>
          <w:tcPr>
            <w:tcW w:w="22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Calibri" w:hAnsi="Calibri" w:eastAsia="" w:cs="Calibri" w:eastAsiaTheme="minorEastAsia"/>
                <w:lang w:eastAsia="ru-RU"/>
              </w:rPr>
            </w:pPr>
            <w:r>
              <w:rPr>
                <w:rFonts w:eastAsia="" w:cs="Calibri" w:eastAsiaTheme="minorEastAsia"/>
                <w:lang w:eastAsia="ru-RU"/>
              </w:rPr>
              <w:t>9 млрд. руб.</w:t>
            </w:r>
          </w:p>
        </w:tc>
        <w:tc>
          <w:tcPr>
            <w:tcW w:w="22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Calibri" w:hAnsi="Calibri" w:eastAsia="" w:cs="Calibri" w:eastAsiaTheme="minorEastAsia"/>
                <w:lang w:eastAsia="ru-RU"/>
              </w:rPr>
            </w:pPr>
            <w:r>
              <w:rPr>
                <w:rFonts w:eastAsia="" w:cs="Calibri" w:eastAsiaTheme="minorEastAsia"/>
                <w:lang w:eastAsia="ru-RU"/>
              </w:rPr>
              <w:t>15 млрд. руб.</w:t>
            </w:r>
          </w:p>
        </w:tc>
      </w:tr>
      <w:tr>
        <w:trPr/>
        <w:tc>
          <w:tcPr>
            <w:tcW w:w="45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Calibri" w:hAnsi="Calibri" w:eastAsia="" w:cs="Calibri" w:eastAsiaTheme="minorEastAsia"/>
                <w:lang w:eastAsia="ru-RU"/>
              </w:rPr>
            </w:pPr>
            <w:r>
              <w:rPr>
                <w:rFonts w:eastAsia="" w:cs="Calibri" w:eastAsiaTheme="minorEastAsia"/>
                <w:lang w:eastAsia="ru-RU"/>
              </w:rPr>
              <w:t>Вклад в ВРП</w:t>
            </w:r>
          </w:p>
        </w:tc>
        <w:tc>
          <w:tcPr>
            <w:tcW w:w="22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Calibri" w:hAnsi="Calibri" w:eastAsia="" w:cs="Calibri" w:eastAsiaTheme="minorEastAsia"/>
                <w:lang w:eastAsia="ru-RU"/>
              </w:rPr>
            </w:pPr>
            <w:r>
              <w:rPr>
                <w:rFonts w:eastAsia="" w:cs="Calibri" w:eastAsiaTheme="minorEastAsia"/>
                <w:lang w:eastAsia="ru-RU"/>
              </w:rPr>
              <w:t>2,4 млрд. руб.</w:t>
            </w:r>
          </w:p>
        </w:tc>
        <w:tc>
          <w:tcPr>
            <w:tcW w:w="22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Calibri" w:hAnsi="Calibri" w:eastAsia="" w:cs="Calibri" w:eastAsiaTheme="minorEastAsia"/>
                <w:lang w:eastAsia="ru-RU"/>
              </w:rPr>
            </w:pPr>
            <w:r>
              <w:rPr>
                <w:rFonts w:eastAsia="" w:cs="Calibri" w:eastAsiaTheme="minorEastAsia"/>
                <w:lang w:eastAsia="ru-RU"/>
              </w:rPr>
              <w:t>4,5 млрд. руб.</w:t>
            </w:r>
          </w:p>
        </w:tc>
      </w:tr>
      <w:tr>
        <w:trPr/>
        <w:tc>
          <w:tcPr>
            <w:tcW w:w="45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Calibri" w:hAnsi="Calibri" w:eastAsia="" w:cs="Calibri" w:eastAsiaTheme="minorEastAsia"/>
                <w:lang w:eastAsia="ru-RU"/>
              </w:rPr>
            </w:pPr>
            <w:r>
              <w:rPr>
                <w:rFonts w:eastAsia="" w:cs="Calibri" w:eastAsiaTheme="minorEastAsia"/>
                <w:lang w:eastAsia="ru-RU"/>
              </w:rPr>
              <w:t>Валовое потребление природного газа в качестве моторного топлива</w:t>
            </w:r>
          </w:p>
        </w:tc>
        <w:tc>
          <w:tcPr>
            <w:tcW w:w="22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Calibri" w:hAnsi="Calibri" w:eastAsia="" w:cs="Calibri" w:eastAsiaTheme="minorEastAsia"/>
                <w:lang w:eastAsia="ru-RU"/>
              </w:rPr>
            </w:pPr>
            <w:r>
              <w:rPr>
                <w:rFonts w:eastAsia="" w:cs="Calibri" w:eastAsiaTheme="minorEastAsia"/>
                <w:lang w:eastAsia="ru-RU"/>
              </w:rPr>
              <w:t>8,4 млн. куб. м</w:t>
            </w:r>
          </w:p>
        </w:tc>
        <w:tc>
          <w:tcPr>
            <w:tcW w:w="22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Calibri" w:hAnsi="Calibri" w:eastAsia="" w:cs="Calibri" w:eastAsiaTheme="minorEastAsia"/>
                <w:lang w:eastAsia="ru-RU"/>
              </w:rPr>
            </w:pPr>
            <w:r>
              <w:rPr>
                <w:rFonts w:eastAsia="" w:cs="Calibri" w:eastAsiaTheme="minorEastAsia"/>
                <w:lang w:eastAsia="ru-RU"/>
              </w:rPr>
              <w:t>12,6 млн. куб. м</w:t>
            </w:r>
          </w:p>
        </w:tc>
      </w:tr>
      <w:tr>
        <w:trPr/>
        <w:tc>
          <w:tcPr>
            <w:tcW w:w="4534"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Calibri" w:hAnsi="Calibri" w:eastAsia="" w:cs="Calibri" w:eastAsiaTheme="minorEastAsia"/>
                <w:lang w:eastAsia="ru-RU"/>
              </w:rPr>
            </w:pPr>
            <w:r>
              <w:rPr>
                <w:rFonts w:eastAsia="" w:cs="Calibri" w:eastAsiaTheme="minorEastAsia"/>
                <w:lang w:eastAsia="ru-RU"/>
              </w:rPr>
              <w:t>Количество объектов газозаправочной инфраструктуры</w:t>
            </w:r>
          </w:p>
        </w:tc>
        <w:tc>
          <w:tcPr>
            <w:tcW w:w="2269"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Calibri" w:hAnsi="Calibri" w:eastAsia="" w:cs="Calibri" w:eastAsiaTheme="minorEastAsia"/>
                <w:lang w:eastAsia="ru-RU"/>
              </w:rPr>
            </w:pPr>
            <w:r>
              <w:rPr>
                <w:rFonts w:eastAsia="" w:cs="Calibri" w:eastAsiaTheme="minorEastAsia"/>
                <w:lang w:eastAsia="ru-RU"/>
              </w:rPr>
              <w:t>7 ед.</w:t>
            </w:r>
          </w:p>
        </w:tc>
        <w:tc>
          <w:tcPr>
            <w:tcW w:w="2268"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Calibri" w:hAnsi="Calibri" w:eastAsia="" w:cs="Calibri" w:eastAsiaTheme="minorEastAsia"/>
                <w:lang w:eastAsia="ru-RU"/>
              </w:rPr>
            </w:pPr>
            <w:r>
              <w:rPr>
                <w:rFonts w:eastAsia="" w:cs="Calibri" w:eastAsiaTheme="minorEastAsia"/>
                <w:lang w:eastAsia="ru-RU"/>
              </w:rPr>
              <w:t>11 ед.</w:t>
            </w:r>
          </w:p>
        </w:tc>
      </w:tr>
    </w:tbl>
    <w:p>
      <w:pPr>
        <w:pStyle w:val="Normal"/>
        <w:widowControl w:val="false"/>
        <w:spacing w:lineRule="auto" w:line="240" w:before="0" w:after="0"/>
        <w:ind w:firstLine="540"/>
        <w:jc w:val="both"/>
        <w:rPr>
          <w:rFonts w:ascii="Calibri" w:hAnsi="Calibri" w:eastAsia="" w:cs="Calibri" w:eastAsiaTheme="minorEastAsia"/>
          <w:lang w:eastAsia="ru-RU"/>
        </w:rPr>
      </w:pPr>
      <w:r>
        <w:rPr>
          <w:rFonts w:eastAsia="" w:cs="Calibri" w:eastAsiaTheme="minorEastAsia"/>
          <w:lang w:eastAsia="ru-RU"/>
        </w:rPr>
      </w:r>
    </w:p>
    <w:p>
      <w:pPr>
        <w:pStyle w:val="Normal"/>
        <w:widowControl w:val="false"/>
        <w:spacing w:lineRule="auto" w:line="240" w:before="0" w:after="0"/>
        <w:ind w:firstLine="540"/>
        <w:jc w:val="both"/>
        <w:rPr>
          <w:rFonts w:ascii="Calibri" w:hAnsi="Calibri" w:eastAsia="" w:cs="Calibri" w:eastAsiaTheme="minorEastAsia"/>
          <w:lang w:eastAsia="ru-RU"/>
        </w:rPr>
      </w:pPr>
      <w:r>
        <w:rPr>
          <w:rFonts w:eastAsia="" w:cs="Calibri" w:eastAsiaTheme="minorEastAsia"/>
          <w:lang w:eastAsia="ru-RU"/>
        </w:rPr>
        <w:t>В целях обеспечения жителей Сахалинской области отоплением и горячим водоснабжением от автономных источников генерации, работающих на СПГ/КПГ разработан проект "Автономная газификация Сахалинской области" со сроком реализации 01.01.2020 - 31.12.2025. Планируется создание инфраструктуры производства, транспортировки, хранения и потребления СПГ/КПГ для автономного газоснабжения удаленных населенных пунктов и объектов Сахалинской области.</w:t>
      </w:r>
    </w:p>
    <w:p>
      <w:pPr>
        <w:pStyle w:val="Normal"/>
        <w:widowControl w:val="false"/>
        <w:spacing w:lineRule="auto" w:line="240" w:before="0" w:after="0"/>
        <w:ind w:firstLine="540"/>
        <w:jc w:val="both"/>
        <w:rPr>
          <w:rFonts w:ascii="Calibri" w:hAnsi="Calibri" w:eastAsia="" w:cs="Calibri" w:eastAsiaTheme="minorEastAsia"/>
          <w:lang w:eastAsia="ru-RU"/>
        </w:rPr>
      </w:pPr>
      <w:r>
        <w:rPr/>
      </w:r>
    </w:p>
    <w:p>
      <w:pPr>
        <w:pStyle w:val="Normal"/>
        <w:widowControl w:val="false"/>
        <w:spacing w:lineRule="auto" w:line="240" w:before="0" w:after="0"/>
        <w:ind w:firstLine="540"/>
        <w:jc w:val="both"/>
        <w:rPr>
          <w:rFonts w:ascii="Calibri" w:hAnsi="Calibri" w:eastAsia="" w:cs="Calibri" w:eastAsiaTheme="minorEastAsia"/>
          <w:lang w:eastAsia="ru-RU"/>
        </w:rPr>
      </w:pPr>
      <w:r>
        <w:rPr>
          <w:rFonts w:eastAsia="" w:cs="Calibri" w:eastAsiaTheme="minorEastAsia"/>
          <w:b/>
          <w:lang w:eastAsia="ru-RU"/>
        </w:rPr>
        <w:t>3.5.</w:t>
      </w:r>
      <w:r>
        <w:rPr>
          <w:rFonts w:eastAsia="" w:cs="Calibri" w:eastAsiaTheme="minorEastAsia"/>
          <w:b/>
          <w:lang w:eastAsia="ru-RU"/>
        </w:rPr>
        <w:t xml:space="preserve"> Водородное топливо</w:t>
      </w:r>
    </w:p>
    <w:p>
      <w:pPr>
        <w:pStyle w:val="Normal"/>
        <w:widowControl w:val="false"/>
        <w:spacing w:lineRule="auto" w:line="240" w:before="0" w:after="0"/>
        <w:jc w:val="center"/>
        <w:rPr>
          <w:rFonts w:ascii="Calibri" w:hAnsi="Calibri" w:eastAsia="" w:cs="Calibri" w:eastAsiaTheme="minorEastAsia"/>
          <w:lang w:eastAsia="ru-RU"/>
        </w:rPr>
      </w:pPr>
      <w:r>
        <w:rPr>
          <w:rFonts w:eastAsia="" w:cs="Calibri" w:eastAsiaTheme="minorEastAsia"/>
          <w:lang w:eastAsia="ru-RU"/>
        </w:rPr>
      </w:r>
    </w:p>
    <w:p>
      <w:pPr>
        <w:pStyle w:val="Normal"/>
        <w:widowControl w:val="false"/>
        <w:spacing w:lineRule="auto" w:line="240" w:before="0" w:after="0"/>
        <w:ind w:firstLine="540"/>
        <w:jc w:val="both"/>
        <w:rPr>
          <w:rFonts w:ascii="Calibri" w:hAnsi="Calibri" w:eastAsia="" w:cs="Calibri" w:eastAsiaTheme="minorEastAsia"/>
          <w:lang w:eastAsia="ru-RU"/>
        </w:rPr>
      </w:pPr>
      <w:r>
        <w:rPr>
          <w:rFonts w:eastAsia="" w:cs="Calibri" w:eastAsiaTheme="minorEastAsia"/>
          <w:lang w:eastAsia="ru-RU"/>
        </w:rPr>
        <w:t>Проект по созданию завода экспортного производства водорода, предполагает строительство завода по производству водорода методом паровой газовой конверсии метана мощностью первой очереди 30000 тонн водорода (2025 г.) с последующим увеличением до 100000 тонн (после 2030 г.).</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Для реализации данного проекта потребуется увеличение добычи/перераспределение добываемого природного газа, так как свободные ресурсы природного газа для реализации данного проекта на текущий момент в Сахалинской области отсутствуют. Кроме того, производство водорода с нулевыми выбросами парниковых газов требует развития и внедрения технологий по захоронению углекислого газа.</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Задачами региона в рамках реализации данного проекта также являются обеспечение транспортной доступности объектов инфраструктуры и субсидирование (льготные условия, иные формы поддержки) подключения к магистральным коммуникациям.</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В рамках формирования регионального нефтегазохимического кластера в части организации производства и использования водородного топлива и развития транспортной инфраструктуры Сахалинской области планируется реализация проекта "Организация на о. Сахалин пассажирского железнодорожного сообщения с применением поездов на водородных топливных элементах и систем обеспечения их эксплуатации". Подписано соглашения о сотрудничестве и взаимодействии между Правительством Сахалинской области, ОАО "Российские железные дороги", Государственной корпорацией по атомной энергии "Росатом" и АО "Трансмашхолдинг".</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В соответствии с Концепцией развития водородной энергетики в Российской Федерации, утвержденной распоряжением Правительства Российской Федерации от 5 августа 2021 г. N 2162-р, региональные (территориальные) водородные кластеры должны способствовать созданию экспортно ориентированного производства водорода и энергетических смесей на его основе, а также обеспечивать их поставки на внутренний рынок Российской Федерации. Водородные кластеры могут формироваться при активном участии центров инженерно-технологических компетенций как основы научно-технологической инфраструктуры кластеров, осуществляющей исследования и разработки, корректировку требований к комплексным системам и их компонентам, проведение испытаний сложных систем и анализ их функционирования на стадии опытно-промышленной эксплуатации.</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b/>
          <w:lang w:eastAsia="ru-RU"/>
        </w:rPr>
        <w:t>3.6.</w:t>
      </w:r>
      <w:r>
        <w:rPr>
          <w:b/>
        </w:rPr>
        <w:t xml:space="preserve"> Лесной комплекс</w:t>
      </w:r>
    </w:p>
    <w:p>
      <w:pPr>
        <w:pStyle w:val="Normal"/>
        <w:widowControl w:val="false"/>
        <w:spacing w:lineRule="auto" w:line="240" w:before="220" w:after="0"/>
        <w:ind w:firstLine="540"/>
        <w:jc w:val="both"/>
        <w:rPr>
          <w:b/>
        </w:rPr>
      </w:pPr>
      <w:r>
        <w:rPr>
          <w:b/>
        </w:rPr>
        <w:t>Меры по развитию отрасли и основные инвестиционные проекты, в т.ч. сроки, этапы и финансовое обеспечение развития</w:t>
      </w:r>
    </w:p>
    <w:p>
      <w:pPr>
        <w:pStyle w:val="ConsPlusNormal"/>
        <w:jc w:val="center"/>
        <w:rPr/>
      </w:pPr>
      <w:r>
        <w:rPr/>
      </w:r>
    </w:p>
    <w:p>
      <w:pPr>
        <w:pStyle w:val="ConsPlusNormal"/>
        <w:ind w:firstLine="540"/>
        <w:jc w:val="both"/>
        <w:rPr/>
      </w:pPr>
      <w:r>
        <w:rPr/>
        <w:t>Приоритетное направление развития лесопромышленного комплекса региона в рамках программы-минимум - включение в глобальные производственные цепочки в качестве поставщика ресурсов.</w:t>
      </w:r>
    </w:p>
    <w:p>
      <w:pPr>
        <w:pStyle w:val="ConsPlusNormal"/>
        <w:spacing w:before="220" w:after="0"/>
        <w:ind w:firstLine="540"/>
        <w:jc w:val="both"/>
        <w:rPr/>
      </w:pPr>
      <w:r>
        <w:rPr/>
        <w:t>В рамках программы-максимум планируется локализация на территории области высокотехнологичных производств крупных лесопромышленных компаний, действующих на глобальном рынке.</w:t>
      </w:r>
    </w:p>
    <w:p>
      <w:pPr>
        <w:pStyle w:val="ConsPlusNormal"/>
        <w:spacing w:before="220" w:after="0"/>
        <w:ind w:firstLine="540"/>
        <w:jc w:val="both"/>
        <w:rPr/>
      </w:pPr>
      <w:r>
        <w:rPr/>
        <w:t>Выход на новые рынки сбыта и встраивание в глобальные производственные цепочки актуализирует необходимость решения следующих задач:</w:t>
      </w:r>
    </w:p>
    <w:p>
      <w:pPr>
        <w:pStyle w:val="ConsPlusNormal"/>
        <w:spacing w:before="220" w:after="0"/>
        <w:ind w:firstLine="540"/>
        <w:jc w:val="both"/>
        <w:rPr/>
      </w:pPr>
      <w:r>
        <w:rPr/>
        <w:t>1) проведение полноценной таксации лесов (материальная оценка при инвентаризации) с использованием современных методов. Планируемый эффект - обеспечение точного понимания доступной ресурсной базы для развития лесного комплекса Сахалинской области, что также станет важнейшей составляющей переговорного процесса в рамках международной кооперации;</w:t>
      </w:r>
    </w:p>
    <w:p>
      <w:pPr>
        <w:pStyle w:val="ConsPlusNormal"/>
        <w:spacing w:before="220" w:after="0"/>
        <w:ind w:firstLine="540"/>
        <w:jc w:val="both"/>
        <w:rPr/>
      </w:pPr>
      <w:r>
        <w:rPr/>
        <w:t>2) формирование регионального заказа на подготовку специалистов для лесной отрасли в учебных заведениях различного уровня для обеспечения ЛПК области квалифицированными кадрами;</w:t>
      </w:r>
    </w:p>
    <w:p>
      <w:pPr>
        <w:pStyle w:val="ConsPlusNormal"/>
        <w:spacing w:before="220" w:after="0"/>
        <w:ind w:firstLine="540"/>
        <w:jc w:val="both"/>
        <w:rPr/>
      </w:pPr>
      <w:r>
        <w:rPr/>
        <w:t>3) разработка маркетинговой стратегии развития лесопромышленного комплекса региона. Для решения данной задачи планируется проведение маркетингового исследования по всему периметру глобального рынка лесной продукции;</w:t>
      </w:r>
    </w:p>
    <w:p>
      <w:pPr>
        <w:pStyle w:val="ConsPlusNormal"/>
        <w:spacing w:before="220" w:after="0"/>
        <w:ind w:firstLine="540"/>
        <w:jc w:val="both"/>
        <w:rPr/>
      </w:pPr>
      <w:r>
        <w:rPr/>
        <w:t>4) реализация инвестиционного проекта по созданию лесоперерабатывающего комплекса на территории Сахалинской области.</w:t>
      </w:r>
    </w:p>
    <w:p>
      <w:pPr>
        <w:pStyle w:val="ConsPlusNormal"/>
        <w:spacing w:before="220" w:after="0"/>
        <w:ind w:firstLine="540"/>
        <w:jc w:val="both"/>
        <w:rPr/>
      </w:pPr>
      <w:r>
        <w:rPr/>
        <w:t>Проект организации производства по глубокой переработке древесины в Сахалинской области предполагает создание лесозаготовительных и лесоперерабатывающих мощностей, обеспечивающих полную и безотходную переработку древесных ресурсов региона, а также производство продукции с высокой добавленной стоимостью, ориентированной на премиальные рынки стран АТР. Цель проекта - создание современного, конкурентоспособного комплексного лесопромышленного предприятия с вертикально-интегрированной структурой и организация эффективного не истощительного использования лесных ресурсов для обеспечения роста благосостояния жителей области при сохранении экологического потенциала и биоразнообразия лесов.</w:t>
      </w:r>
    </w:p>
    <w:p>
      <w:pPr>
        <w:pStyle w:val="ConsPlusNormal"/>
        <w:spacing w:before="220" w:after="0"/>
        <w:ind w:firstLine="540"/>
        <w:jc w:val="both"/>
        <w:rPr/>
      </w:pPr>
      <w:r>
        <w:rPr/>
        <w:t>Потенциал проекта основан на неиспользуемом лесосырьевом ресурсе Сахалинской области и близости высокомаржинальных экспортных рынков сбыта продукции.</w:t>
      </w:r>
    </w:p>
    <w:p>
      <w:pPr>
        <w:pStyle w:val="ConsPlusNormal"/>
        <w:spacing w:before="220" w:after="0"/>
        <w:ind w:firstLine="540"/>
        <w:jc w:val="both"/>
        <w:rPr/>
      </w:pPr>
      <w:r>
        <w:rPr/>
        <w:t>Проект глубокой переработки древесины реализуется поэтапно. Каждый производственный блок проекта предполагает выпуск высококачественного продукта, ориентированного на экспорт, является экономически состоятельным и независимым. Наращивание производственных возможностей предполагает более глубокую переработку продукции предыдущего этапа или отходов и обеспечивает повышение добавленной стоимости производимой продукции. Гибкий формат реализации проекта обеспечивает его устойчивость и позволяет сконцентрироваться на выпуске продукции, наиболее востребованной на рынке в текущий момент.</w:t>
      </w:r>
    </w:p>
    <w:p>
      <w:pPr>
        <w:pStyle w:val="ConsPlusNormal"/>
        <w:spacing w:before="220" w:after="0"/>
        <w:ind w:firstLine="540"/>
        <w:jc w:val="both"/>
        <w:rPr/>
      </w:pPr>
      <w:r>
        <w:rPr/>
        <w:t>Базовый уровень проекта (Блок А) - производственный блок, обеспечивающий заготовку круглого леса и его переработку с применением современного фрезерно-брусующего оборудования, последующую сушку и сортировку пиломатериалов по качеству. Древесные отходы, образующиеся в результате переработки сырья, утилизируются для получения тепловой энергии, используемой для сушильных камер и отопления производственных цехов в зимний период, а также перерабатываются в древесные топливные гранулы.</w:t>
      </w:r>
    </w:p>
    <w:p>
      <w:pPr>
        <w:pStyle w:val="ConsPlusNormal"/>
        <w:spacing w:before="220" w:after="0"/>
        <w:ind w:firstLine="540"/>
        <w:jc w:val="both"/>
        <w:rPr/>
      </w:pPr>
      <w:r>
        <w:rPr/>
        <w:t>Этот производственный блок экономически самодостаточен и является базой для дальнейшего развития лесоперерабатывающего комплекса. В представленном формате, в виде законченной экономико-производственной модели функционирует множество лесоперерабатывающих предприятий в России и в мире.</w:t>
      </w:r>
    </w:p>
    <w:p>
      <w:pPr>
        <w:pStyle w:val="ConsPlusNormal"/>
        <w:spacing w:before="220" w:after="0"/>
        <w:ind w:firstLine="540"/>
        <w:jc w:val="both"/>
        <w:rPr/>
      </w:pPr>
      <w:r>
        <w:rPr/>
        <w:t>Основное сырье для этого этапа - хвойный пиловочник (в том числе и тонкомерный), а основная готовая продукция - сухие, рассортированные по качеству пиломатериалы и древесные топливные гранулы.</w:t>
      </w:r>
    </w:p>
    <w:p>
      <w:pPr>
        <w:pStyle w:val="ConsPlusNormal"/>
        <w:spacing w:before="220" w:after="0"/>
        <w:ind w:firstLine="540"/>
        <w:jc w:val="both"/>
        <w:rPr/>
      </w:pPr>
      <w:r>
        <w:rPr/>
        <w:t>Последующие этапы предполагают дальнейшую переработку пиломатериалов, с повышением стоимости продукции. Блок В включает несколько производственных элементов, позволяющих осуществлять строгание и профилирование пиломатериалов, их дефектацию и склеивание по длине, производство клееных конструкционных элементов (в том числе несущих балок), изготовление панелей и домокомплектов CLT. Вариативность изготавливаемой продукции в этом блоке крайне широка.</w:t>
      </w:r>
    </w:p>
    <w:p>
      <w:pPr>
        <w:pStyle w:val="ConsPlusNormal"/>
        <w:spacing w:before="220" w:after="0"/>
        <w:ind w:firstLine="540"/>
        <w:jc w:val="both"/>
        <w:rPr/>
      </w:pPr>
      <w:r>
        <w:rPr/>
        <w:t>Производственный Блок С предполагает полную переработку круглого балансового сырья и дровяной древесины, неизбежно возникающих при лесозаготовительной деятельности, путем изготовления древесных плит (ДСП, ПСП/ПВП, ОСП). Древесные отходы, возникающие при производстве плит, служат топливом для генерации тепловой энергии, используемой в тепловой сушилке и для отопления.</w:t>
      </w:r>
    </w:p>
    <w:p>
      <w:pPr>
        <w:pStyle w:val="ConsPlusNormal"/>
        <w:spacing w:before="220" w:after="0"/>
        <w:ind w:firstLine="540"/>
        <w:jc w:val="both"/>
        <w:rPr/>
      </w:pPr>
      <w:r>
        <w:rPr/>
        <w:t>Базовая производственная программа лесоперерабатывающего комплекса отражает минимальные значения производственных мощностей, которые целесообразно реализовывать с учетом современных требований к экономически обоснованному масштабу производства. Более низкие значения базовой производительности поставят инвестиционный проект в заведомо худшие условия по сравнению с сопоставимыми современными перерабатывающими комплексами.</w:t>
      </w:r>
    </w:p>
    <w:p>
      <w:pPr>
        <w:pStyle w:val="ConsPlusNormal"/>
        <w:spacing w:before="220" w:after="0"/>
        <w:ind w:firstLine="540"/>
        <w:jc w:val="both"/>
        <w:rPr/>
      </w:pPr>
      <w:r>
        <w:rPr/>
        <w:t>Базовая производственная программа лесоперерабатывающего комплекса:</w:t>
      </w:r>
    </w:p>
    <w:p>
      <w:pPr>
        <w:pStyle w:val="ConsPlusNormal"/>
        <w:spacing w:before="220" w:after="0"/>
        <w:ind w:firstLine="540"/>
        <w:jc w:val="both"/>
        <w:rPr/>
      </w:pPr>
      <w:r>
        <w:rPr/>
        <w:t>Блок А:</w:t>
      </w:r>
    </w:p>
    <w:p>
      <w:pPr>
        <w:pStyle w:val="ConsPlusNormal"/>
        <w:spacing w:before="220" w:after="0"/>
        <w:ind w:firstLine="540"/>
        <w:jc w:val="both"/>
        <w:rPr/>
      </w:pPr>
      <w:r>
        <w:rPr/>
        <w:t>- хвойные пиломатериалы (KD 18 - 22%) - 150000 м</w:t>
      </w:r>
      <w:r>
        <w:rPr>
          <w:vertAlign w:val="superscript"/>
        </w:rPr>
        <w:t>3</w:t>
      </w:r>
      <w:r>
        <w:rPr/>
        <w:t xml:space="preserve"> в год (входящее сырье - хвойный пиловочник - 300000 м</w:t>
      </w:r>
      <w:r>
        <w:rPr>
          <w:vertAlign w:val="superscript"/>
        </w:rPr>
        <w:t>3</w:t>
      </w:r>
      <w:r>
        <w:rPr/>
        <w:t xml:space="preserve"> в год);</w:t>
      </w:r>
    </w:p>
    <w:p>
      <w:pPr>
        <w:pStyle w:val="ConsPlusNormal"/>
        <w:spacing w:before="220" w:after="0"/>
        <w:ind w:firstLine="540"/>
        <w:jc w:val="both"/>
        <w:rPr/>
      </w:pPr>
      <w:r>
        <w:rPr/>
        <w:t>- древесные топливные гранулы - 80000 тонн в год (входящее сырье - отходы лесопиления).</w:t>
      </w:r>
    </w:p>
    <w:p>
      <w:pPr>
        <w:pStyle w:val="ConsPlusNormal"/>
        <w:spacing w:before="220" w:after="0"/>
        <w:ind w:firstLine="540"/>
        <w:jc w:val="both"/>
        <w:rPr/>
      </w:pPr>
      <w:r>
        <w:rPr/>
        <w:t>Блок В:</w:t>
      </w:r>
    </w:p>
    <w:p>
      <w:pPr>
        <w:pStyle w:val="ConsPlusNormal"/>
        <w:spacing w:before="220" w:after="0"/>
        <w:ind w:firstLine="540"/>
        <w:jc w:val="both"/>
        <w:rPr/>
      </w:pPr>
      <w:r>
        <w:rPr/>
        <w:t>- панели CLT - 35000 м</w:t>
      </w:r>
      <w:r>
        <w:rPr>
          <w:vertAlign w:val="superscript"/>
        </w:rPr>
        <w:t>3</w:t>
      </w:r>
      <w:r>
        <w:rPr/>
        <w:t xml:space="preserve"> в год (входящее сырье - хвойные пиломатериалы);</w:t>
      </w:r>
    </w:p>
    <w:p>
      <w:pPr>
        <w:pStyle w:val="ConsPlusNormal"/>
        <w:spacing w:before="220" w:after="0"/>
        <w:ind w:firstLine="540"/>
        <w:jc w:val="both"/>
        <w:rPr/>
      </w:pPr>
      <w:r>
        <w:rPr/>
        <w:t>- погонажные изделия - 10000 м</w:t>
      </w:r>
      <w:r>
        <w:rPr>
          <w:vertAlign w:val="superscript"/>
        </w:rPr>
        <w:t>3</w:t>
      </w:r>
      <w:r>
        <w:rPr/>
        <w:t xml:space="preserve"> в год (входящее сырье - хвойные пиломатериалы);</w:t>
      </w:r>
    </w:p>
    <w:p>
      <w:pPr>
        <w:pStyle w:val="ConsPlusNormal"/>
        <w:spacing w:before="220" w:after="0"/>
        <w:ind w:firstLine="540"/>
        <w:jc w:val="both"/>
        <w:rPr/>
      </w:pPr>
      <w:r>
        <w:rPr/>
        <w:t>- клееный конструкционный брус - 15000 м</w:t>
      </w:r>
      <w:r>
        <w:rPr>
          <w:vertAlign w:val="superscript"/>
        </w:rPr>
        <w:t>3</w:t>
      </w:r>
      <w:r>
        <w:rPr/>
        <w:t xml:space="preserve"> в год (входящее сырье - хвойные пиломатериалы);</w:t>
      </w:r>
    </w:p>
    <w:p>
      <w:pPr>
        <w:pStyle w:val="ConsPlusNormal"/>
        <w:spacing w:before="220" w:after="0"/>
        <w:ind w:firstLine="540"/>
        <w:jc w:val="both"/>
        <w:rPr/>
      </w:pPr>
      <w:r>
        <w:rPr/>
        <w:t>- мебельный/столярный щит - 2000 м</w:t>
      </w:r>
      <w:r>
        <w:rPr>
          <w:vertAlign w:val="superscript"/>
        </w:rPr>
        <w:t>3</w:t>
      </w:r>
      <w:r>
        <w:rPr/>
        <w:t xml:space="preserve"> в год (входящее сырье - хвойные пиломатериалы).</w:t>
      </w:r>
    </w:p>
    <w:p>
      <w:pPr>
        <w:pStyle w:val="ConsPlusNormal"/>
        <w:spacing w:before="220" w:after="0"/>
        <w:ind w:firstLine="540"/>
        <w:jc w:val="both"/>
        <w:rPr/>
      </w:pPr>
      <w:r>
        <w:rPr/>
        <w:t>Блок С:</w:t>
      </w:r>
    </w:p>
    <w:p>
      <w:pPr>
        <w:pStyle w:val="ConsPlusNormal"/>
        <w:spacing w:before="220" w:after="0"/>
        <w:ind w:firstLine="540"/>
        <w:jc w:val="both"/>
        <w:rPr/>
      </w:pPr>
      <w:r>
        <w:rPr/>
        <w:t>- древесные плиты (ДСП, ПСП/ПВП, ОСП) - 180000 м</w:t>
      </w:r>
      <w:r>
        <w:rPr>
          <w:vertAlign w:val="superscript"/>
        </w:rPr>
        <w:t>3</w:t>
      </w:r>
      <w:r>
        <w:rPr/>
        <w:t xml:space="preserve"> в год (входящее сырье - балансовое и дровяное сырье - 250000 м</w:t>
      </w:r>
      <w:r>
        <w:rPr>
          <w:vertAlign w:val="superscript"/>
        </w:rPr>
        <w:t>3</w:t>
      </w:r>
      <w:r>
        <w:rPr/>
        <w:t xml:space="preserve"> в год).</w:t>
      </w:r>
    </w:p>
    <w:p>
      <w:pPr>
        <w:pStyle w:val="ConsPlusNormal"/>
        <w:spacing w:before="220" w:after="0"/>
        <w:ind w:firstLine="540"/>
        <w:jc w:val="both"/>
        <w:rPr/>
      </w:pPr>
      <w:r>
        <w:rPr/>
        <w:t>Полная реализация всех Блоков инвестиционного проекта позволит достичь синергетического эффекта за счет оптимального использования трудовых ресурсов, внутреннего и внешнего транспорта, минимизации затрат на строительно-монтажные работы и других факторов производства.</w:t>
      </w:r>
    </w:p>
    <w:p>
      <w:pPr>
        <w:pStyle w:val="ConsPlusNormal"/>
        <w:spacing w:before="220" w:after="0"/>
        <w:ind w:firstLine="540"/>
        <w:jc w:val="both"/>
        <w:rPr/>
      </w:pPr>
      <w:r>
        <w:rPr/>
        <w:t>Реализация мер по развитию отрасли и инвестиционных проектов в целом планируется в три этапа:</w:t>
      </w:r>
    </w:p>
    <w:p>
      <w:pPr>
        <w:pStyle w:val="ConsPlusNormal"/>
        <w:spacing w:before="220" w:after="0"/>
        <w:ind w:firstLine="540"/>
        <w:jc w:val="both"/>
        <w:rPr/>
      </w:pPr>
      <w:r>
        <w:rPr/>
        <w:t>- 2019 - 2024 гг.: формирование инновационной инфраструктуры, запуск пилотных инициатив и инвестиционных проектов первой очереди;</w:t>
      </w:r>
    </w:p>
    <w:p>
      <w:pPr>
        <w:pStyle w:val="ConsPlusNormal"/>
        <w:spacing w:before="220" w:after="0"/>
        <w:ind w:firstLine="540"/>
        <w:jc w:val="both"/>
        <w:rPr/>
      </w:pPr>
      <w:r>
        <w:rPr/>
        <w:t>- 2024 - 2030 гг.: выход проектов и инициатив первой очереди на проектную мощность, масштабирование пилотных решений, запуск инициатив и проектов второй очереди;</w:t>
      </w:r>
    </w:p>
    <w:p>
      <w:pPr>
        <w:pStyle w:val="ConsPlusNormal"/>
        <w:spacing w:before="220" w:after="0"/>
        <w:ind w:firstLine="540"/>
        <w:jc w:val="both"/>
        <w:rPr/>
      </w:pPr>
      <w:r>
        <w:rPr/>
        <w:t>- 2030 - 2035 гг.: обновление приоритетов развития лесного комплекса региона в соответствии с итогами пилотных проектов, обновление профильной государственной программы, реализация проектов и инициатив третьей очереди.</w:t>
      </w:r>
    </w:p>
    <w:p>
      <w:pPr>
        <w:pStyle w:val="ConsPlusNormal"/>
        <w:spacing w:before="220" w:after="0"/>
        <w:ind w:firstLine="540"/>
        <w:jc w:val="both"/>
        <w:rPr/>
      </w:pPr>
      <w:r>
        <w:rPr/>
        <w:t xml:space="preserve">Финансовое обеспечение развития лесного комплекса Сахалинской области планируется за счет совместных государственных и частных инвестиций. Обеспечение государственной части финансирования в ходе первого этапа реализации Стратегии планируется в рамках государственной </w:t>
      </w:r>
      <w:hyperlink r:id="rId5">
        <w:r>
          <w:rPr>
            <w:color w:val="0000FF"/>
          </w:rPr>
          <w:t>программы</w:t>
        </w:r>
      </w:hyperlink>
      <w:r>
        <w:rPr/>
        <w:t xml:space="preserve"> "Развитие лесного комплекса, охотничьего хозяйства и особо охраняемых природных территорий Сахалинской области".</w:t>
      </w:r>
    </w:p>
    <w:p>
      <w:pPr>
        <w:pStyle w:val="ConsPlusNormal"/>
        <w:spacing w:before="220" w:after="0"/>
        <w:ind w:firstLine="540"/>
        <w:jc w:val="both"/>
        <w:rPr/>
      </w:pPr>
      <w:r>
        <w:rPr/>
        <w:t>Подробный перечень мер по развитию отрасли, ответственные исполнители, сроки и финансовое обеспечение приведены в Плане мероприятий по реализации Стратегии социально-экономического развития Сахалинской области на период до 2035 г.</w:t>
      </w:r>
    </w:p>
    <w:p>
      <w:pPr>
        <w:pStyle w:val="ConsPlusNormal"/>
        <w:spacing w:before="220" w:after="0"/>
        <w:ind w:firstLine="540"/>
        <w:jc w:val="both"/>
        <w:rPr/>
      </w:pPr>
      <w:r>
        <w:rPr>
          <w:rFonts w:eastAsia="" w:cs="Calibri" w:eastAsiaTheme="minorEastAsia"/>
          <w:b/>
          <w:lang w:eastAsia="ru-RU"/>
        </w:rPr>
        <w:t>3.7. Сельское хозяйство, пищевая и перерабатывающая промышленность</w:t>
      </w:r>
    </w:p>
    <w:p>
      <w:pPr>
        <w:pStyle w:val="ConsPlusNormal"/>
        <w:spacing w:before="220" w:after="0"/>
        <w:ind w:firstLine="540"/>
        <w:jc w:val="both"/>
        <w:rPr/>
      </w:pPr>
      <w:r>
        <w:rPr>
          <w:rFonts w:eastAsia="" w:cs="Calibri" w:eastAsiaTheme="minorEastAsia"/>
          <w:b/>
          <w:lang w:eastAsia="ru-RU"/>
        </w:rPr>
        <w:t>Меры по развитию отрасли и основные инвестиционные проекты, в т.ч. сроки, этапы и финансовое обеспечение развития</w:t>
      </w:r>
    </w:p>
    <w:p>
      <w:pPr>
        <w:pStyle w:val="Normal"/>
        <w:widowControl w:val="false"/>
        <w:spacing w:lineRule="auto" w:line="240" w:before="0" w:after="0"/>
        <w:jc w:val="center"/>
        <w:rPr>
          <w:rFonts w:ascii="Calibri" w:hAnsi="Calibri" w:eastAsia="" w:cs="Calibri" w:eastAsiaTheme="minorEastAsia"/>
          <w:lang w:eastAsia="ru-RU"/>
        </w:rPr>
      </w:pPr>
      <w:r>
        <w:rPr>
          <w:rFonts w:eastAsia="" w:cs="Calibri" w:eastAsiaTheme="minorEastAsia"/>
          <w:lang w:eastAsia="ru-RU"/>
        </w:rPr>
      </w:r>
    </w:p>
    <w:p>
      <w:pPr>
        <w:pStyle w:val="Normal"/>
        <w:widowControl w:val="false"/>
        <w:spacing w:lineRule="auto" w:line="240" w:before="0" w:after="0"/>
        <w:ind w:firstLine="540"/>
        <w:jc w:val="both"/>
        <w:rPr>
          <w:rFonts w:ascii="Calibri" w:hAnsi="Calibri" w:eastAsia="" w:cs="Calibri" w:eastAsiaTheme="minorEastAsia"/>
          <w:lang w:eastAsia="ru-RU"/>
        </w:rPr>
      </w:pPr>
      <w:r>
        <w:rPr>
          <w:rFonts w:eastAsia="" w:cs="Calibri" w:eastAsiaTheme="minorEastAsia"/>
          <w:lang w:eastAsia="ru-RU"/>
        </w:rPr>
        <w:t>Исходя из предпосылок развития агропромышленного комплекса Сахалинской области, формируются приоритетные направления, а также предлагаются меры и инструменты развития отрасли.</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Обеспечение решения проблем сбыта и увеличения степени переработки продукции должно осуществляться по нескольким направлениям:</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1) расширение производственной базы и номенклатуры продукции:</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расширение номенклатуры производимой овощной продукции на предприятиях региона;</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развитие тепличного хозяйства: увеличение площадей под теплицами по выращиванию овощей защищенного грунта;</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строительство откормочной площадки на 400 голов КРС мясного направления в Углегорском городском округе;</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строительство цехов убоя сельскохозяйственных животных;</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строительство комбикормового завода в г. Южно-Сахалинске на базе АО "Птицефабрика "Островная";</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развитие цветочного хозяйства;</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строительство и ввод в эксплуатацию теплицы до 3 га для продленного выращивания ягодных культур;</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развитие ягодного направления за счет стимулирования частных фермерских хозяйств;</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вовлечение в оборот неиспользуемых земель;</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2) развитие сбыта и логистики.</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Строительство агропромышленного парка с оптово-распределительным центром в г. Южно-Сахалинске (далее - Агропарк).</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Цель проекта: создание логистического центра с высокотехнологической инфраструктурой для хранения продовольственных товаров и переработки сельскохозяйственной продукции, а также торгово-выставочного комплекса.</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На территории Агропарка будут возведены:</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1) оптово-распределительный центр, общая площадь - 10000 кв. м на 15 тыс. тонн единовременного хранения;</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2) производственное здание площадью 5000 кв. м;</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3) овощехранилище на 1 тыс. т;</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4) торгово-выставочный центр - 2 этажа общей площадью 18000 кв. м;</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5) складские помещения общей площадью 30000 кв. м.</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Основными преимуществами Агропарка являются:</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1) повышение товарности сельскохозяйственной продукции за счет снижения потерь при хранении сельскохозяйственной продукции;</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2) модернизация складской инфраструктуры и покрытие дефицита в овощехранилищах;</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3) обеспечение контроля качества и безопасности за счет организации пунктов фитосанитарного и ветеринарного контроля;</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4) широкий спектр предоставляемых услуг: транспортно-логистический узел, переработка и предпродажная подработка, современная упаковка, бизнес-услуги (банковские, страховые, юридические услуги, электронная торговля, ЕРЦ и др.).</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Реализация проекта позволит решить задачи регионального уровня:</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1) в области создания условий для сельхозпредприятий - обеспечение доступа мелких и средних товаропроизводителей к рынкам сбыта сельскохозяйственной продукции;</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2) в области обеспечения продовольственной безопасности - оказание поддержки различным отраслям экономики, организациям в целях стабилизации экономики при временных нарушениях снабжения важнейшими видами продовольствия в случае возникновения диспропорций между спросом и предложением на внутреннем рынке, а также оказание регулирующего воздействия на рынок;</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3) развитие кадров и кадрового потенциала;</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4) поддержка бизнеса:</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повышение рентабельности субсидируемых предприятий. Перераспределение средств под субсидии для участников рынка, в том числе из числа МСП;</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введение субсидий на компенсацию транспортных затрат предприятиям перерабатывающей промышленности, поставляющим продукцию собственного производства за пределы региона;</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обеспечение возможности подачи заявлений на оказание мер государственной поддержки в электронной форме с возможностью рассчитывать необходимую сумму субсидии по разработанным расчетам субсидии. Обеспечение оперативного информационного взаимодействия между всеми участниками процесса.</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Кроме того, с целью оказания муниципальных услуг по запросам населения предоставление регламентированных справок и выписок из похозяйственных книг осуществляется комплексная автоматизация учета личных подсобных хозяйств в цифровом формате, что в дальнейшем позволит проводить анализ ресурсной базы и активов муниципальных образований и сельских территорий по формированию доходной части бюджетов.</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Реализация мер по развитию отрасли и инвестиционных проектов в целом планируется в три этапа:</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1) 2019 - 2024 гг.: формирование современной инфраструктуры в рамках основных инвестиционных проектов;</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2) 2024 - 2030 гг.: выход инвестиционных проектов на проектную мощность;</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3) 2030 - 2035 гг.: обновление приоритетов развития агропромышленного комплекса региона в соответствии с итогами реализации инвестиционных проектов, актуализация государственной программы.</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xml:space="preserve">Финансовое обеспечение развития АПК Сахалинской области планируется за счет совместных государственных и частных инвестиций. Обеспечение государственной части финансирования планируется в рамках государственной </w:t>
      </w:r>
      <w:hyperlink r:id="rId6">
        <w:r>
          <w:rPr>
            <w:rFonts w:eastAsia="" w:cs="Calibri" w:eastAsiaTheme="minorEastAsia"/>
            <w:color w:val="0000FF"/>
            <w:lang w:eastAsia="ru-RU"/>
          </w:rPr>
          <w:t>программы</w:t>
        </w:r>
      </w:hyperlink>
      <w:r>
        <w:rPr>
          <w:rFonts w:eastAsia="" w:cs="Calibri" w:eastAsiaTheme="minorEastAsia"/>
          <w:lang w:eastAsia="ru-RU"/>
        </w:rPr>
        <w:t xml:space="preserve"> "Развитие в Сахалинской области сельского хозяйства и регулирование рынков сельскохозяйственной продукции, сырья и продовольствия".</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b/>
          <w:lang w:eastAsia="ru-RU"/>
        </w:rPr>
        <w:t>3.8</w:t>
      </w:r>
      <w:r>
        <w:rPr>
          <w:b/>
        </w:rPr>
        <w:t>. Туризм и новая городская экономика</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b/>
          <w:lang w:eastAsia="ru-RU"/>
        </w:rPr>
        <w:t>Меры по развитию отрасли и основные инвестиционные проекты, в т.ч. сроки, этапы и финансовое обеспечение развития</w:t>
      </w:r>
    </w:p>
    <w:p>
      <w:pPr>
        <w:pStyle w:val="Normal"/>
        <w:widowControl w:val="false"/>
        <w:spacing w:lineRule="auto" w:line="240" w:before="0" w:after="0"/>
        <w:jc w:val="center"/>
        <w:rPr>
          <w:rFonts w:ascii="Calibri" w:hAnsi="Calibri" w:eastAsia="" w:cs="Calibri" w:eastAsiaTheme="minorEastAsia"/>
          <w:lang w:eastAsia="ru-RU"/>
        </w:rPr>
      </w:pPr>
      <w:r>
        <w:rPr>
          <w:rFonts w:eastAsia="" w:cs="Calibri" w:eastAsiaTheme="minorEastAsia"/>
          <w:lang w:eastAsia="ru-RU"/>
        </w:rPr>
      </w:r>
    </w:p>
    <w:p>
      <w:pPr>
        <w:pStyle w:val="Normal"/>
        <w:widowControl w:val="false"/>
        <w:spacing w:lineRule="auto" w:line="240" w:before="0" w:after="0"/>
        <w:ind w:firstLine="540"/>
        <w:jc w:val="both"/>
        <w:rPr>
          <w:rFonts w:ascii="Calibri" w:hAnsi="Calibri" w:eastAsia="" w:cs="Calibri" w:eastAsiaTheme="minorEastAsia"/>
          <w:lang w:eastAsia="ru-RU"/>
        </w:rPr>
      </w:pPr>
      <w:r>
        <w:rPr>
          <w:rFonts w:eastAsia="" w:cs="Calibri" w:eastAsiaTheme="minorEastAsia"/>
          <w:lang w:eastAsia="ru-RU"/>
        </w:rPr>
        <w:t>В 2016 г. туристская отрасль признана одной из приоритетных несырьевых отраслей экономики Сахалинской области. Целью развития туризма в Сахалинской области является формирование новой точки роста для региона, увеличение роли туристического кластера в повышении привлекательности региона, реструктуризации его экономики и улучшении качества среды.</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Развитие сферы туризма в рамках Стратегии социально-экономического развития Сахалинской области до 2035 г. опирается и соотносится с целями, задачами и мероприятиями, обозначенными выше.</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Формирование нового кластера в сфере туризма в Сахалинской области осуществляется через реализацию программ развития, которые обеспечат укрупнение и форматирование существующей недооформленной индустрии в эффективный кластер. Ставка будет сделана на экологический и горнолыжный туризм, развитую инфраструктуру, цифровые технологии и платформенные решения для туризма.</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Решение обозначенной задачи предусматривается путем организации действий по 6 ключевым проектным направлениям.</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1) Развитие различных видов туризма и создание новых турпродуктов:</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сосредоточение усилий Правительства Сахалинской области и муниципальных образований на стимулировании развития различных видов туризма: экологический, культурно-познавательный, спортивный (горнолыжный, велосипедный), событийный, деловой, бальнеологический, гастрономический, охотничий и рыболовный;</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увеличение количества событий в каждой отрасли, организация совместных международных событийных проектов (включение в мировую event-индустрию-отрасль проведения событий и мероприятий);</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создание условий для развития межрегиональных маршрутов выходного дня;</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организация взаимосвязи с ключевыми отраслевыми направлениями развития региона и основными присутствующими крупными бизнесами;</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реализация стратегии развития горнолыжного комплекса "Горный воздух", в т.ч. в сочетании с созданием и развитием всесезонных турпродуктов;</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создание инфраструктуры для яхтенного туризма. В Сахалинской области зарегистрировано более 10000 маломерных плавсредств, а инфраструктура для их хранения, причаливания и стоянки представлена только разрушенными порт-ковшами, отсутствуют яхт-марины.</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2) Привлечение дополнительных инвестиций в отрасль: создание регионального кластерного центра для активного вовлечения малого и среднего бизнеса, привлечения крупных инвесторов в островной регион и обеспечения благоприятных условий для бизнеса.</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3) Расширение действия существующей, принятие и реализация основных региональных государственных программ развития региона с учетом концепции развития туризма (государственная программа развития внутреннего и въездного туризма, транспорта, социально-экономического развития, экспорта услуг, программы МО), в том числе для обеспечения инфраструктурного и кадрового развития отрасли:</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реализация стратегии развития ТОР "Горный воздух" (проекты по строительству транспортной, гостиничной и спортивной инфраструктуры);</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развитие сети гостиничных комплексов в муниципальных образованиях;</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развитие дорожной инфраструктуры и связности туристических объектов;</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запуск сетевых образовательных программ с ведущими профильными факультетами вузов других регионов;</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активное вовлечение туристской отрасли региона в движение "Ворлдскиллс";</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развитие системы сети ООПТ и создание условий в них для комфортного и не наносящего вред природе пребывания туристов;</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развитие ОБУ "Природный парк "Остров Монерон" как туристической зоны и передача его в профильное ведомство для охраны.</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4) Создание и продвижение туристического бренда:</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создание туристического бренда региона и развитие региональной идентичности, реализация масштабной информационно-коммуникационной кампании по повышению известности и создания позитивного образа региона; органичное включение туристического бренда "Сахалинская область" в единый (комплексный) бренд Сахалинской области: Сахалинская область как точка роста (территория развития, территория возможностей, территория открытий, уникальная туристическая дестинация);</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продвижение за пределами региона: программа Амбассадоров (представление в позитивном свете) Сахалина и Курил, фотовыставки, продвижение тематических турпродуктов в партнерских организациях (рестораны и т.п.);</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развитие единого информационного портала и горячей линии по туристским продуктам; создание версий портала на разных языках, а также мобильного приложения, интегрированного во всероссийские сервисы;</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развитие системы туристско-информационных центров в муниципальных образованиях Сахалинской области;</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продвижение региональных турпродуктов на цифровых площадках (агрегаторы и платформы);</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комплексный маркетинг на внутреннем и внешнем рынках: коммуникационно-организационный проект "Приезжай на Сахалин и Курилы".</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5) Развитие взаимодействия с бизнесом:</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привлечение федеральных и международных туроператоров. Совершенствование механизма взаимодействия регионального бизнеса и федеральных туроператоров;</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использование механизма субсидирования туроператоров въездного туризма (для привлечения иностранных туристов);</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формирование предложений для крупных российских работодателей, обеспечивающих отдых сотрудников.</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6) Развитие инфраструктуры приема туристов:</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реализация программы Амбассадоров Сахалина и Курил (специализированной программы по развитию человеческого капитала в индустрии гостеприимства; программа должна быть направлена на повышение стандартов качества услуг в КСР, предприятиях общественного питания и пр.);</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реализация проектов по благоустройству территорий, создание новых многофункциональных центров в ключевых муниципальных образованиях, рекреационных зон и др.;</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реализация проекта строительства нового аэровокзала в г. Южно-Сахалинске и создания на его базе транспортного хаба, обеспечивающего прямое авиасообщение с городами Китая, как одного из ключевых игроков на рынке туриндустрии в АТР и мире. Получение статуса и сопровождение режима "Открытое небо";</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расширение парка туристических автобусов, развитие дорожной и придорожной инфраструктуры;</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расширение сети мультиязычной туристической навигации;</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строительство грузопассажирского терминала с функцией обслуживания как туристов, местных и транзитных пассажиров, автотуристов, так и транспортного потока автотранспорта, перевозимого на паромах.</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7) Реализация законодательных инициатив.</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Правительству Сахалинской области необходимо инициировать следующие изменения в действующем законодательстве:</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предложения по подпрограмме субсидирования межрегиональных и региональных авиаперевозок на территории ДФО и Сибири (субсидирование межрегиональных и региональных перевозок для организованных групп туристов, снятие возрастного ограничения по субсидированным перевозкам, увеличение рейсов в ДФО);</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расширение сферы применения электронной визы, введение безвизовых режимов для граждан, прибывающих в РФ транзитом;</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определение мер поддержки для малого и среднего предпринимательства (в первую очередь - в области экотуризма как одного из наиболее перспективных направлений и с точки зрения спроса, и с точки зрения развития малого и среднего бизнеса: в отличие от других направлений пеший экологический туризм не требует больших капитальных вложений);</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внедрение современных стандартов туристской инфраструктуры (в т.ч. в ООПТ - для обеспечения более интенсивного развития экологического туризма).</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Для успешного развития туристской индустрии на территории Сахалинской области необходимо обеспечить взаимосвязь между всеми проектными линиями: различные виды туризма (экологический, городской, этнографический, историко-культурный) должны не конкурировать между собой, а обеспечивать повышение отдачи от туристического потока (увеличивать количество денежных средств, "оставляемых" туристами в регионе). Иными словами, развитие туризма на территории региона должно реализовываться в логике создания единого туристического кластера, включающего в себя широкий спектр туристических продуктов (туры, экскурсии, мастер-классы, гастротуры и пр.), но опирающегося на единую, высококачественную туристическую инфраструктуру, в первую очередь - на КСР и предприятия общественного питания, которые, как правило, являются основными "зонами прибыли" для туристических регионов. Для создания единого кластера со стороны Правительства Сахалинской области важно также обеспечить:</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повышение качества предоставляемых услуг в индустрии гостеприимства Сахалинской области;</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использование для развития туристической отрасли средств и компетенций различных институтов развития;</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совершенствование механизма взаимодействия регионального бизнеса и федеральных туроператоров (общие стандарты деятельности);</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продвижение региона на площадках крупных федеральных событий.</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Решение задачи по формированию единого туристического кластера Сахалинской области позволит достичь следующих показателей:</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увеличить турпоток с 285 тыс. чел. (2018 г.) до 500 тыс. чел. к 2024 г. и до 1,5 млн. чел. к 2035 г.;</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увеличить оборот КСР и предприятий общественного питания, обслуживающих туристов, с 2,4 млрд. руб. (2018 г.) до 4,2 млрд. рублей к 2024 г. и до 15 млрд. рублей к 2035 г.;</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увеличить количество рабочих мест в КСР и индустрии общественного питания с 7,6 тыс. (2018 г.) до 10 тыс. к 2024 г. и до 18 - 20 тыс. к 2035 г.</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b/>
          <w:lang w:eastAsia="ru-RU"/>
        </w:rPr>
        <w:t>3.9</w:t>
      </w:r>
      <w:r>
        <w:rPr>
          <w:rFonts w:eastAsia="" w:cs="Calibri" w:eastAsiaTheme="minorEastAsia"/>
          <w:b/>
          <w:lang w:eastAsia="ru-RU"/>
        </w:rPr>
        <w:t>. Марикультура.</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b/>
          <w:lang w:eastAsia="ru-RU"/>
        </w:rPr>
        <w:t>Приоритетные направления и проекты развития</w:t>
      </w:r>
    </w:p>
    <w:p>
      <w:pPr>
        <w:pStyle w:val="Normal"/>
        <w:widowControl w:val="false"/>
        <w:spacing w:lineRule="auto" w:line="240" w:before="0" w:after="0"/>
        <w:jc w:val="center"/>
        <w:rPr>
          <w:rFonts w:ascii="Calibri" w:hAnsi="Calibri" w:eastAsia="" w:cs="Calibri" w:eastAsiaTheme="minorEastAsia"/>
          <w:lang w:eastAsia="ru-RU"/>
        </w:rPr>
      </w:pPr>
      <w:r>
        <w:rPr>
          <w:rFonts w:eastAsia="" w:cs="Calibri" w:eastAsiaTheme="minorEastAsia"/>
          <w:lang w:eastAsia="ru-RU"/>
        </w:rPr>
      </w:r>
    </w:p>
    <w:p>
      <w:pPr>
        <w:pStyle w:val="Normal"/>
        <w:widowControl w:val="false"/>
        <w:spacing w:lineRule="auto" w:line="240" w:before="0" w:after="0"/>
        <w:ind w:firstLine="540"/>
        <w:jc w:val="both"/>
        <w:rPr>
          <w:rFonts w:ascii="Calibri" w:hAnsi="Calibri" w:eastAsia="" w:cs="Calibri" w:eastAsiaTheme="minorEastAsia"/>
          <w:lang w:eastAsia="ru-RU"/>
        </w:rPr>
      </w:pPr>
      <w:r>
        <w:rPr>
          <w:rFonts w:eastAsia="" w:cs="Calibri" w:eastAsiaTheme="minorEastAsia"/>
          <w:lang w:eastAsia="ru-RU"/>
        </w:rPr>
        <w:t>Для решения задач формирования кластера марикультуры необходима реализация мероприятий по трем основным направлениям:</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1) увеличение площади под развитие марикультуры: формирование границ рыбоводных участков для осуществления марикультуры и аквакультуры;</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2) развитие производственно-технологической базы:</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создание биотехнопарков, объединяющих строительство заводов по получению посадочного материала, производство молоди, товарное выращивание объектов марикультуры, а также глубокую комплексную переработку получаемого на морских плантациях сырья;</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разработка и внедрение технологий донного выращивания, штормоустойчивых конструкций гидротехнических установок (садков и коллекторов);</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3) кадровое обеспечение.</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В части кадрового обеспечения хозяйствующие субъекты за счет собственных средств привлекают специалистов из-за рубежа, а также обеспечивают стажировки российских специалистов на зарубежных предприятиях.</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Создание и функционирование кластера предполагает постоянное взаимодействие всех его элементов, поэтому необходимо понимать, как они будут увязаны между собой.</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Также необходима и географическая увязка элементов кластера для создания всей необходимой инфраструктуры.</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 xml:space="preserve">Для решения задачи по созданию новой точки роста и включения в новый для региона рынок предлагается реализация инвестиционного проекта "Увеличение добычи водных биологических ресурсов" (таблица </w:t>
      </w:r>
      <w:r>
        <w:rPr>
          <w:rFonts w:eastAsia="" w:cs="Calibri" w:eastAsiaTheme="minorEastAsia"/>
          <w:lang w:eastAsia="ru-RU"/>
        </w:rPr>
        <w:t>4</w:t>
      </w:r>
      <w:r>
        <w:rPr>
          <w:rFonts w:eastAsia="" w:cs="Calibri" w:eastAsiaTheme="minorEastAsia"/>
          <w:lang w:eastAsia="ru-RU"/>
        </w:rPr>
        <w:t>).</w:t>
      </w:r>
    </w:p>
    <w:p>
      <w:pPr>
        <w:pStyle w:val="Normal"/>
        <w:widowControl w:val="false"/>
        <w:spacing w:lineRule="auto" w:line="240" w:before="220" w:after="0"/>
        <w:ind w:firstLine="540"/>
        <w:jc w:val="both"/>
        <w:rPr>
          <w:rFonts w:ascii="Calibri" w:hAnsi="Calibri" w:eastAsia="" w:cs="Calibri" w:eastAsiaTheme="minorEastAsia"/>
          <w:b/>
          <w:lang w:eastAsia="ru-RU"/>
        </w:rPr>
      </w:pPr>
      <w:r>
        <w:rPr>
          <w:rFonts w:eastAsia="" w:cs="Calibri" w:eastAsiaTheme="minorEastAsia"/>
          <w:b/>
          <w:lang w:eastAsia="ru-RU"/>
        </w:rPr>
        <w:t>Таблица 4. МЕРОПРИЯТИЯ ПО РАЗВИТИЮ МАРИКУЛЬТУРЫ (В Т.Ч. АКВАКУЛЬТУРЫ) ПРИ РЕАЛИЗАЦИИ ИНВЕСТИЦИОННОГО ПРОЕКТА "УВЕЛИЧЕНИЕ ДОБЫЧИ ВОДНЫХ БИОЛОГИЧЕСКИХ РЕСУРСОВ"</w:t>
      </w:r>
    </w:p>
    <w:p>
      <w:pPr>
        <w:pStyle w:val="ConsPlusNormal"/>
        <w:ind w:firstLine="540"/>
        <w:jc w:val="both"/>
        <w:rPr/>
      </w:pPr>
      <w:r>
        <w:rPr/>
      </w:r>
    </w:p>
    <w:tbl>
      <w:tblPr>
        <w:tblW w:w="9071" w:type="dxa"/>
        <w:jc w:val="left"/>
        <w:tblInd w:w="0" w:type="dxa"/>
        <w:tblLayout w:type="fixed"/>
        <w:tblCellMar>
          <w:top w:w="102" w:type="dxa"/>
          <w:left w:w="62" w:type="dxa"/>
          <w:bottom w:w="102" w:type="dxa"/>
          <w:right w:w="62" w:type="dxa"/>
        </w:tblCellMar>
        <w:tblLook w:firstRow="1" w:noVBand="1" w:lastRow="0" w:firstColumn="1" w:lastColumn="0" w:noHBand="0" w:val="04a0"/>
      </w:tblPr>
      <w:tblGrid>
        <w:gridCol w:w="566"/>
        <w:gridCol w:w="6521"/>
        <w:gridCol w:w="1984"/>
      </w:tblGrid>
      <w:tr>
        <w:trPr/>
        <w:tc>
          <w:tcPr>
            <w:tcW w:w="566"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r>
          </w:p>
        </w:tc>
        <w:tc>
          <w:tcPr>
            <w:tcW w:w="6521"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Наименование мероприятий</w:t>
            </w:r>
          </w:p>
        </w:tc>
        <w:tc>
          <w:tcPr>
            <w:tcW w:w="198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Инвестиции, млн. руб.</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1.</w:t>
            </w:r>
          </w:p>
        </w:tc>
        <w:tc>
          <w:tcPr>
            <w:tcW w:w="6521" w:type="dxa"/>
            <w:tcBorders>
              <w:top w:val="single" w:sz="4" w:space="0" w:color="000000"/>
              <w:left w:val="single" w:sz="4" w:space="0" w:color="000000"/>
              <w:bottom w:val="single" w:sz="4" w:space="0" w:color="000000"/>
              <w:right w:val="single" w:sz="4" w:space="0" w:color="000000"/>
            </w:tcBorders>
          </w:tcPr>
          <w:p>
            <w:pPr>
              <w:pStyle w:val="ConsPlusNormal"/>
              <w:rPr/>
            </w:pPr>
            <w:r>
              <w:rPr/>
              <w:t>Строительство лососевых рыборазводных заводов</w:t>
            </w:r>
          </w:p>
        </w:tc>
        <w:tc>
          <w:tcPr>
            <w:tcW w:w="198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1900,0</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2.</w:t>
            </w:r>
          </w:p>
        </w:tc>
        <w:tc>
          <w:tcPr>
            <w:tcW w:w="6521" w:type="dxa"/>
            <w:tcBorders>
              <w:top w:val="single" w:sz="4" w:space="0" w:color="000000"/>
              <w:left w:val="single" w:sz="4" w:space="0" w:color="000000"/>
              <w:bottom w:val="single" w:sz="4" w:space="0" w:color="000000"/>
              <w:right w:val="single" w:sz="4" w:space="0" w:color="000000"/>
            </w:tcBorders>
          </w:tcPr>
          <w:p>
            <w:pPr>
              <w:pStyle w:val="ConsPlusNormal"/>
              <w:rPr/>
            </w:pPr>
            <w:r>
              <w:rPr/>
              <w:t>Строительство рыбоводных питомников</w:t>
            </w:r>
          </w:p>
        </w:tc>
        <w:tc>
          <w:tcPr>
            <w:tcW w:w="198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570,0</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3.</w:t>
            </w:r>
          </w:p>
        </w:tc>
        <w:tc>
          <w:tcPr>
            <w:tcW w:w="6521" w:type="dxa"/>
            <w:tcBorders>
              <w:top w:val="single" w:sz="4" w:space="0" w:color="000000"/>
              <w:left w:val="single" w:sz="4" w:space="0" w:color="000000"/>
              <w:bottom w:val="single" w:sz="4" w:space="0" w:color="000000"/>
              <w:right w:val="single" w:sz="4" w:space="0" w:color="000000"/>
            </w:tcBorders>
          </w:tcPr>
          <w:p>
            <w:pPr>
              <w:pStyle w:val="ConsPlusNormal"/>
              <w:rPr/>
            </w:pPr>
            <w:r>
              <w:rPr/>
              <w:t>Акваферма по выращиванию морского гребешка, трепанга, морской капусты (ламинарии)</w:t>
            </w:r>
          </w:p>
        </w:tc>
        <w:tc>
          <w:tcPr>
            <w:tcW w:w="198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20,0</w:t>
            </w:r>
          </w:p>
        </w:tc>
      </w:tr>
      <w:tr>
        <w:trPr/>
        <w:tc>
          <w:tcPr>
            <w:tcW w:w="566" w:type="dxa"/>
            <w:tcBorders>
              <w:top w:val="single" w:sz="4" w:space="0" w:color="000000"/>
              <w:left w:val="single" w:sz="4" w:space="0" w:color="000000"/>
              <w:bottom w:val="single" w:sz="4" w:space="0" w:color="000000"/>
              <w:right w:val="single" w:sz="4" w:space="0" w:color="000000"/>
            </w:tcBorders>
          </w:tcPr>
          <w:p>
            <w:pPr>
              <w:pStyle w:val="ConsPlusNormal"/>
              <w:rPr/>
            </w:pPr>
            <w:r>
              <w:rPr/>
              <w:t>4.</w:t>
            </w:r>
          </w:p>
        </w:tc>
        <w:tc>
          <w:tcPr>
            <w:tcW w:w="6521" w:type="dxa"/>
            <w:tcBorders>
              <w:top w:val="single" w:sz="4" w:space="0" w:color="000000"/>
              <w:left w:val="single" w:sz="4" w:space="0" w:color="000000"/>
              <w:bottom w:val="single" w:sz="4" w:space="0" w:color="000000"/>
              <w:right w:val="single" w:sz="4" w:space="0" w:color="000000"/>
            </w:tcBorders>
          </w:tcPr>
          <w:p>
            <w:pPr>
              <w:pStyle w:val="ConsPlusNormal"/>
              <w:rPr/>
            </w:pPr>
            <w:r>
              <w:rPr/>
              <w:t>Прочие проекты аква и марикультуры</w:t>
            </w:r>
          </w:p>
        </w:tc>
        <w:tc>
          <w:tcPr>
            <w:tcW w:w="1984" w:type="dxa"/>
            <w:tcBorders>
              <w:top w:val="single" w:sz="4" w:space="0" w:color="000000"/>
              <w:left w:val="single" w:sz="4" w:space="0" w:color="000000"/>
              <w:bottom w:val="single" w:sz="4" w:space="0" w:color="000000"/>
              <w:right w:val="single" w:sz="4" w:space="0" w:color="000000"/>
            </w:tcBorders>
          </w:tcPr>
          <w:p>
            <w:pPr>
              <w:pStyle w:val="ConsPlusNormal"/>
              <w:jc w:val="center"/>
              <w:rPr/>
            </w:pPr>
            <w:r>
              <w:rPr/>
              <w:t>1510,0</w:t>
            </w:r>
          </w:p>
        </w:tc>
      </w:tr>
    </w:tbl>
    <w:p>
      <w:pPr>
        <w:pStyle w:val="ConsPlusNormal"/>
        <w:ind w:firstLine="540"/>
        <w:jc w:val="both"/>
        <w:rPr>
          <w:rFonts w:ascii="Calibri" w:hAnsi="Calibri" w:eastAsia="" w:cs="Calibri" w:eastAsiaTheme="minorEastAsia"/>
          <w:lang w:eastAsia="ru-RU"/>
        </w:rPr>
      </w:pPr>
      <w:r>
        <w:rPr/>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Проект направлен на использование благоприятных климатических условий и мелководий островного региона для развития марикультуры (гребешков, трепанга, устриц, мидий, морского ежа, ламинарии).</w:t>
      </w:r>
    </w:p>
    <w:p>
      <w:pPr>
        <w:pStyle w:val="Normal"/>
        <w:widowControl w:val="false"/>
        <w:spacing w:lineRule="auto" w:line="240" w:before="220" w:after="0"/>
        <w:ind w:firstLine="540"/>
        <w:jc w:val="both"/>
        <w:rPr>
          <w:rFonts w:ascii="Calibri" w:hAnsi="Calibri" w:eastAsia="" w:cs="Calibri" w:eastAsiaTheme="minorEastAsia"/>
          <w:lang w:eastAsia="ru-RU"/>
        </w:rPr>
      </w:pPr>
      <w:r>
        <w:rPr>
          <w:rFonts w:eastAsia="" w:cs="Calibri" w:eastAsiaTheme="minorEastAsia"/>
          <w:lang w:eastAsia="ru-RU"/>
        </w:rPr>
        <w:t>Срок его реализации намечен на 2018 - 2030 гг. Общая сумма инвестиций, необходимая для выхода его на плановую мощность, составляет 4 млрд. рублей, из которых 4 млрд. рублей - частные инвестиции.</w:t>
      </w:r>
    </w:p>
    <w:sectPr>
      <w:type w:val="nextPage"/>
      <w:pgSz w:w="11906" w:h="16838"/>
      <w:pgMar w:left="1701" w:right="850" w:gutter="0" w:header="0" w:top="1134" w:footer="0" w:bottom="1134"/>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Liberation Sans">
    <w:altName w:val="Arial"/>
    <w:charset w:val="cc"/>
    <w:family w:val="swiss"/>
    <w:pitch w:val="variable"/>
  </w:font>
</w:fonts>
</file>

<file path=word/settings.xml><?xml version="1.0" encoding="utf-8"?>
<w:settings xmlns:w="http://schemas.openxmlformats.org/wordprocessingml/2006/main">
  <w:zoom w:percent="12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Hyperlink">
    <w:name w:val="Hyperlink"/>
    <w:rPr>
      <w:color w:val="000080"/>
      <w:u w:val="single"/>
    </w:rPr>
  </w:style>
  <w:style w:type="paragraph" w:styleId="Style14">
    <w:name w:val="Заголовок"/>
    <w:basedOn w:val="Normal"/>
    <w:next w:val="BodyText"/>
    <w:qFormat/>
    <w:pPr>
      <w:keepNext w:val="true"/>
      <w:spacing w:before="240" w:after="120"/>
    </w:pPr>
    <w:rPr>
      <w:rFonts w:ascii="Liberation Sans" w:hAnsi="Liberation Sans" w:eastAsia="Microsoft YaHei" w:cs="Arial"/>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rPr>
  </w:style>
  <w:style w:type="paragraph" w:styleId="ConsPlusNormal" w:customStyle="1">
    <w:name w:val="ConsPlusNormal"/>
    <w:qFormat/>
    <w:rsid w:val="00f45206"/>
    <w:pPr>
      <w:widowControl w:val="false"/>
      <w:bidi w:val="0"/>
      <w:spacing w:lineRule="auto" w:line="240" w:before="0" w:after="0"/>
      <w:jc w:val="left"/>
    </w:pPr>
    <w:rPr>
      <w:rFonts w:ascii="Calibri" w:hAnsi="Calibri" w:eastAsia="" w:cs="Calibri" w:eastAsiaTheme="minorEastAsia"/>
      <w:color w:val="auto"/>
      <w:kern w:val="0"/>
      <w:sz w:val="22"/>
      <w:szCs w:val="22"/>
      <w:lang w:eastAsia="ru-RU" w:val="ru-RU" w:bidi="ar-SA"/>
    </w:rPr>
  </w:style>
  <w:style w:type="paragraph" w:styleId="ConsPlusTitle" w:customStyle="1">
    <w:name w:val="ConsPlusTitle"/>
    <w:qFormat/>
    <w:rsid w:val="00f45206"/>
    <w:pPr>
      <w:widowControl w:val="false"/>
      <w:bidi w:val="0"/>
      <w:spacing w:lineRule="auto" w:line="240" w:before="0" w:after="0"/>
      <w:jc w:val="left"/>
    </w:pPr>
    <w:rPr>
      <w:rFonts w:ascii="Calibri" w:hAnsi="Calibri" w:eastAsia="" w:cs="Calibri" w:eastAsiaTheme="minorEastAsia"/>
      <w:b/>
      <w:color w:val="auto"/>
      <w:kern w:val="0"/>
      <w:sz w:val="22"/>
      <w:szCs w:val="22"/>
      <w:lang w:eastAsia="ru-RU" w:val="ru-RU" w:bidi="ar-SA"/>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ogin.consultant.ru/link/?req=doc&amp;base=RLAW210&amp;n=136115&amp;dst=8312" TargetMode="External"/><Relationship Id="rId3" Type="http://schemas.openxmlformats.org/officeDocument/2006/relationships/hyperlink" Target="https://login.consultant.ru/link/?req=doc&amp;base=RLAW210&amp;n=130928&amp;dst=107755" TargetMode="External"/><Relationship Id="rId4" Type="http://schemas.openxmlformats.org/officeDocument/2006/relationships/hyperlink" Target="https://login.consultant.ru/link/?req=doc&amp;base=RLAW210&amp;n=136196&amp;dst=100285" TargetMode="External"/><Relationship Id="rId5" Type="http://schemas.openxmlformats.org/officeDocument/2006/relationships/hyperlink" Target="https://login.consultant.ru/link/?req=doc&amp;base=RLAW210&amp;n=136140&amp;dst=5576" TargetMode="External"/><Relationship Id="rId6" Type="http://schemas.openxmlformats.org/officeDocument/2006/relationships/hyperlink" Target="https://login.consultant.ru/link/?req=doc&amp;base=RLAW210&amp;n=136201&amp;dst=160156" TargetMode="External"/><Relationship Id="rId7" Type="http://schemas.openxmlformats.org/officeDocument/2006/relationships/fontTable" Target="fontTable.xml"/><Relationship Id="rId8" Type="http://schemas.openxmlformats.org/officeDocument/2006/relationships/settings" Target="settings.xml"/><Relationship Id="rId9"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105</TotalTime>
  <Application>LibreOffice/7.6.4.1$Windows_X86_64 LibreOffice_project/e19e193f88cd6c0525a17fb7a176ed8e6a3e2aa1</Application>
  <AppVersion>15.0000</AppVersion>
  <Pages>27</Pages>
  <Words>8408</Words>
  <Characters>61468</Characters>
  <CharactersWithSpaces>69401</CharactersWithSpaces>
  <Paragraphs>476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2024-03-27T06:28:00Z</dcterms:created>
  <dc:creator>Дымбрылов Борис Доржиевич</dc:creator>
  <dc:description/>
  <dc:language>ru-RU</dc:language>
  <cp:lastModifiedBy/>
  <dcterms:modified xsi:type="dcterms:W3CDTF">2024-03-28T12:31:38Z</dcterms:modified>
  <cp:revision>10</cp:revision>
  <dc:subject/>
  <dc:title/>
</cp:coreProperties>
</file>

<file path=docProps/custom.xml><?xml version="1.0" encoding="utf-8"?>
<Properties xmlns="http://schemas.openxmlformats.org/officeDocument/2006/custom-properties" xmlns:vt="http://schemas.openxmlformats.org/officeDocument/2006/docPropsVTypes"/>
</file>